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1 版  |  生成时间：2026-10-06 21:35</w:t>
      </w:r>
    </w:p>
    <w:p>
      <w:r>
        <w:rPr>
          <w:color w:val="71847D"/>
        </w:rPr>
        <w:t>本报告依据已提供材料进行风险提示；风险等级不是违法认定或风险概率。</w:t>
      </w:r>
    </w:p>
    <w:p>
      <w:pPr>
        <w:pStyle w:val="Heading1"/>
      </w:pPr>
      <w:r>
        <w:t>01  结论与风险概览</w:t>
      </w:r>
    </w:p>
    <w:p>
      <w:pPr>
        <w:shd w:fill="EDF6F1"/>
      </w:pPr>
      <w:r>
        <w:t>基于现有摘录，唯一具体异常事实是员工提出辞职后随即离开且拒不办理工作交接；由此可能触发未依法预告离职及违反约定交接义务的责任风险，但赔偿以单位能证明实际损失及因果关系为前提。摘录为非原件且信息有限，单位是否存在损失、时效、保密或竞业义务等均需进一步核查，不构成裁判结论，亦不保证任何请求获支持。</w:t>
      </w:r>
    </w:p>
    <w:p>
      <w:r>
        <w:rPr>
          <w:b/>
        </w:rPr>
        <w:t xml:space="preserve">概览依据：  </w:t>
      </w:r>
      <w:r>
        <w:rPr>
          <w:color w:val="71847D"/>
        </w:rPr>
        <w:t>LCL-037、LL-2018-031、LCL-090、LL-2018-102、LCL-050、SUP-F20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提出辞职后随即离岗且拒不办理交接，可能承担未依法预告离职及违反交接义务的责任</w:t>
            </w:r>
          </w:p>
        </w:tc>
        <w:tc>
          <w:tcPr>
            <w:tcW w:type="dxa" w:w="5443"/>
          </w:tcPr>
          <w:p>
            <w:pPr>
              <w:spacing w:line="288" w:lineRule="auto" w:after="140" w:before="140"/>
            </w:pPr>
            <w:r>
              <w:rPr>
                <w:sz w:val="19"/>
              </w:rPr>
              <w:t>核查员工辞职时是否提交书面通知、通知日期及送达方式，以及是否有单位同意即时离职或放弃预告要求的沟通记录。</w:t>
            </w:r>
          </w:p>
        </w:tc>
      </w:tr>
    </w:tbl>
    <w:p>
      <w:r>
        <w:rPr>
          <w:b/>
        </w:rPr>
        <w:t xml:space="preserve">本版修改  </w:t>
      </w:r>
      <w:r>
        <w:t>按规则合并未依法预告离职与违反交接义务为同一风险项，将保密、竞业、时效、管辖、单位侧无异常事实梳理为核查事项与局限，保持原有事实与依据，不新增未核验事实。</w:t>
      </w:r>
    </w:p>
    <w:p>
      <w:pPr>
        <w:pStyle w:val="Heading1"/>
      </w:pPr>
      <w:r>
        <w:t>02  风险详情</w:t>
      </w:r>
    </w:p>
    <w:p>
      <w:pPr>
        <w:pStyle w:val="Heading2"/>
        <w:keepNext/>
      </w:pPr>
      <w:r>
        <w:rPr>
          <w:color w:val="B78224"/>
        </w:rPr>
        <w:t>01  提出辞职后随即离岗且拒不办理交接，可能承担未依法预告离职及违反交接义务的责任  ·  需关注</w:t>
      </w:r>
    </w:p>
    <w:p>
      <w:pPr>
        <w:keepNext/>
        <w:shd w:fill="F3F6F5"/>
      </w:pPr>
      <w:r>
        <w:rPr>
          <w:b/>
        </w:rPr>
        <w:t xml:space="preserve">材料原文  </w:t>
      </w:r>
      <w:r>
        <w:t>2022年2月15日，员工提出辞职，随即离开且拒不办理工作交接。</w:t>
      </w:r>
    </w:p>
    <w:p>
      <w:pPr>
        <w:keepNext/>
      </w:pPr>
      <w:r>
        <w:rPr>
          <w:b/>
        </w:rPr>
        <w:t xml:space="preserve">原文位置  </w:t>
      </w:r>
      <w:r>
        <w:rPr>
          <w:color w:val="71847D"/>
        </w:rPr>
        <w:t>输入文字.txt · 第1页</w:t>
      </w:r>
    </w:p>
    <w:p>
      <w:pPr>
        <w:keepNext/>
      </w:pPr>
      <w:r>
        <w:rPr>
          <w:b/>
        </w:rPr>
        <w:t xml:space="preserve">风险说明  </w:t>
      </w:r>
      <w:r>
        <w:t>材料载明员工提出辞职后即离开，未显示其提前三十日以书面形式通知，也载明其拒不办理工作交接。劳动合同法第三十七条、劳动法第三十一条要求劳动者解除劳动合同应提前三十日书面通知（试用期内提前三日通知）；若确未履行预告义务而径行离岗，属违反本法规定解除劳动合同。劳动合同法第五十条第二款规定劳动者应按双方约定办理工作交接，合同亦约定离职应办理交接、交还工具和技术资料。但依劳动合同法第九十条、劳动法第一百零二条，赔偿以单位证明存在损失及因果关系为前提；材料未载明任何损失数额、工具或资料去向，故只能作为需核查的责任风险，不能认定赔偿必然成立，也不能仅凭合同“据实赔偿”约定就主张违约金或全额赔偿。</w:t>
      </w:r>
    </w:p>
    <w:p>
      <w:pPr>
        <w:keepNext/>
      </w:pPr>
      <w:r>
        <w:rPr>
          <w:b/>
        </w:rPr>
        <w:t xml:space="preserve">分析依据  </w:t>
      </w:r>
      <w:r>
        <w:t>LCL-037 · 中华人民共和国劳动合同法 · 第三十七条</w:t>
      </w:r>
    </w:p>
    <w:p>
      <w:pPr>
        <w:keepNext/>
      </w:pPr>
      <w:r>
        <w:rPr>
          <w:b/>
        </w:rPr>
        <w:t xml:space="preserve">分析依据  </w:t>
      </w:r>
      <w:r>
        <w:t>LL-2018-031 · 中华人民共和国劳动法 · 第三十一条</w:t>
      </w:r>
    </w:p>
    <w:p>
      <w:pPr>
        <w:keepNext/>
      </w:pPr>
      <w:r>
        <w:rPr>
          <w:b/>
        </w:rPr>
        <w:t xml:space="preserve">分析依据  </w:t>
      </w:r>
      <w:r>
        <w:t>LCL-090 · 中华人民共和国劳动合同法 · 第九十条</w:t>
      </w:r>
    </w:p>
    <w:p>
      <w:pPr>
        <w:keepNext/>
      </w:pPr>
      <w:r>
        <w:rPr>
          <w:b/>
        </w:rPr>
        <w:t xml:space="preserve">分析依据  </w:t>
      </w:r>
      <w:r>
        <w:t>LL-2018-102 · 中华人民共和国劳动法 · 第一百零二条</w:t>
      </w:r>
    </w:p>
    <w:p>
      <w:pPr>
        <w:keepNext/>
      </w:pPr>
      <w:r>
        <w:rPr>
          <w:b/>
        </w:rPr>
        <w:t xml:space="preserve">分析依据  </w:t>
      </w:r>
      <w:r>
        <w:t>LCL-050 · 中华人民共和国劳动合同法 · 第五十条</w:t>
      </w:r>
    </w:p>
    <w:p>
      <w:pPr>
        <w:keepNext/>
      </w:pPr>
      <w:r>
        <w:rPr>
          <w:b/>
        </w:rPr>
        <w:t xml:space="preserve">分析依据  </w:t>
      </w:r>
      <w:r>
        <w:t>SUP-F20 · 离职档案与证明 · 高频问答</w:t>
      </w:r>
    </w:p>
    <w:p>
      <w:pPr>
        <w:keepNext/>
      </w:pPr>
      <w:r>
        <w:rPr>
          <w:color w:val="287B65"/>
        </w:rPr>
        <w:t>建议行动</w:t>
      </w:r>
    </w:p>
    <w:p>
      <w:pPr>
        <w:pStyle w:val="ListBullet"/>
        <w:keepNext/>
      </w:pPr>
      <w:r>
        <w:t>核查员工辞职时是否提交书面通知、通知日期及送达方式，以及是否有单位同意即时离职或放弃预告要求的沟通记录。</w:t>
      </w:r>
    </w:p>
    <w:p>
      <w:pPr>
        <w:pStyle w:val="ListBullet"/>
        <w:keepNext/>
      </w:pPr>
      <w:r>
        <w:t>如单位方主张赔偿，需准备可量化的损失证据（岗位空缺、招聘替代成本、项目延误、资料或工具缺失清单及金额）及与骤然离岗之间的因果关系材料。</w:t>
      </w:r>
    </w:p>
    <w:p>
      <w:pPr>
        <w:pStyle w:val="ListBullet"/>
        <w:keepNext/>
      </w:pPr>
      <w:r>
        <w:t>按约定或规章制度书面催告员工限期交接并保留催告与送达证据，注意交接义务违反与损失赔偿可分别主张但均需举证。</w:t>
      </w:r>
    </w:p>
    <w:p>
      <w:pPr>
        <w:pStyle w:val="ListBullet"/>
        <w:keepNext w:val="0"/>
      </w:pPr>
      <w:r>
        <w:t>员工一方可整理已完成的交接项目、单位未安排或拒绝接收交接的沟通记录，以抗辩完全不履行交接的指责。</w:t>
      </w:r>
    </w:p>
    <w:p>
      <w:pPr>
        <w:pStyle w:val="Heading1"/>
      </w:pPr>
      <w:r>
        <w:t>03  待核实事项与分析局限</w:t>
      </w:r>
    </w:p>
    <w:p>
      <w:pPr>
        <w:pStyle w:val="ListBullet"/>
      </w:pPr>
      <w:r>
        <w:t>材料为“研发岗位合同公开摘录（非原件）”，非合同原件，无法核验完整性、签署情况、是否存在附件、保密协议或竞业限制条款；收录内容可能经过删减。</w:t>
      </w:r>
    </w:p>
    <w:p>
      <w:pPr>
        <w:pStyle w:val="ListBullet"/>
      </w:pPr>
      <w:r>
        <w:t>材料未载明员工提交辞职是否为书面形式、送达日期、单位是否同意即时离职，也未载明单位是否履行出具离职证明、办理档案与社保关系转移的义务。</w:t>
      </w:r>
    </w:p>
    <w:p>
      <w:pPr>
        <w:pStyle w:val="ListBullet"/>
      </w:pPr>
      <w:r>
        <w:t>材料未载明单位是否存在实际损失（数额、类型）、损失与员工骤然离岗或不交接之间的因果关系，也未载明工具、技术资料的去向与价值，故无法评估赔偿请求能否成立及金额。</w:t>
      </w:r>
    </w:p>
    <w:p>
      <w:pPr>
        <w:pStyle w:val="ListBullet"/>
      </w:pPr>
      <w:r>
        <w:t>材料未载明任何一方是否已申请仲裁、申请日期、是否主张过权利或对方是否同意履行义务，无法判断仲裁时效是否届满。劳动争议申请仲裁的时效为一年，自知道或应当知道权利被侵害之日起算，存在中断、中止情形；劳动关系终止后追索劳动报酬的，应自终止之日起一年内提出。本案发生在2022年，用户明确不假设今天首次提出争议，故只能核查当年主张或申请日期，不能认定已过时效或未过时效。</w:t>
      </w:r>
    </w:p>
    <w:p>
      <w:pPr>
        <w:pStyle w:val="ListBullet"/>
      </w:pPr>
      <w:r>
        <w:t>材料未载明劳动合同履行地、单位名称与所在地，无法确认管辖机构（劳动争议由劳动合同履行地或用人单位所在地仲裁委管辖）与适用地方性规则；亦未说明2022年2月之后双方是否有新的沟通或和解。</w:t>
      </w:r>
    </w:p>
    <w:p>
      <w:pPr>
        <w:pStyle w:val="ListBullet"/>
      </w:pPr>
      <w:r>
        <w:t>核查与条件分析（不计为风险）：研发岗位是否负有保密或竞业义务、是否发生泄密损失，材料未披露。摘录仅显示岗位为“研发岗位”，未载明是否另行签订保密协议或竞业限制条款、是否约定竞业经济补偿或违约金，也未载明员工去向及是否存在使用原单位技术资料的情形。劳动合同法第二十三条允许对负有保密义务的劳动者约定保密与竞业限制事项，劳动合同法第九十条将违反保密或竞业限制并造成损失列为可主张赔偿的情形；但仅凭岗位名称或接触一般技术工作不足以认定负有竞业限制义务及存在泄密损失。官方案例（普通巡逻保安竞业条款案）仅为个案参考，其案情与结果不能直接套用。建议核查是否存在单独的保密协议或竞业限制条款、是否约定并按月支付竞业补偿，以及竞业限制的期限与范围；如主张泄密损失，需举证实际接触的具体商业秘密内容、非公开性、使用或披露事实及可量化损失。</w:t>
      </w:r>
    </w:p>
    <w:p>
      <w:pPr>
        <w:pStyle w:val="ListBullet"/>
      </w:pPr>
      <w:r>
        <w:t>核查与条件分析（不计为风险）：材料中未出现单位欠付工资、未缴社保、违法解除、扣押证件或收取财物等异常条款或行为，不能仅凭本摘录推断单位存在违法用工风险。用户要求分析“双方风险”，在现有材料下单位侧的可主张内容主要取决于前述员工未预告离职与不交接是否造成损失及是否在时效内主张，属事实与举证问题。建议补充提供劳动合同全文（含保密、竞业、违约金、工资与社保条款）及任何解除、催告、仲裁文书，才能进一步判断双方主张的依据。</w:t>
      </w:r>
    </w:p>
    <w:p>
      <w:pPr>
        <w:pStyle w:val="ListBullet"/>
      </w:pPr>
      <w:r>
        <w:t>本次分析不构成裁判结论或违法认定，不保证任何赔偿或请求获得支持；材料文字中的分析要求（如“不假设今天首次提出争议”“这里不含裁判结论”）属于用户指令，不作为用工风险事实认定。</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LL-2018-031  中华人民共和国劳动法</w:t>
      </w:r>
    </w:p>
    <w:p>
      <w:pPr>
        <w:keepNext/>
        <w:spacing w:line="288" w:lineRule="auto" w:after="80"/>
      </w:pPr>
      <w:r>
        <w:rPr>
          <w:color w:val="71847D"/>
          <w:sz w:val="19"/>
        </w:rPr>
        <w:t>法律条文 · 第三十一条</w:t>
      </w:r>
    </w:p>
    <w:p>
      <w:pPr>
        <w:keepNext/>
        <w:spacing w:line="288" w:lineRule="auto" w:after="80"/>
      </w:pPr>
      <w:r>
        <w:rPr>
          <w:sz w:val="19"/>
        </w:rPr>
        <w:t>第三十一条</w:t>
      </w:r>
      <w:r>
        <w:rPr>
          <w:sz w:val="19"/>
        </w:rPr>
        <w:br/>
      </w:r>
      <w:r>
        <w:rPr>
          <w:sz w:val="19"/>
        </w:rPr>
        <w:t>劳动者解除劳动合同，应当提前三十日以书面形式通知用人单位。</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LL-2018-102  中华人民共和国劳动法</w:t>
      </w:r>
    </w:p>
    <w:p>
      <w:pPr>
        <w:keepNext/>
        <w:spacing w:line="288" w:lineRule="auto" w:after="80"/>
      </w:pPr>
      <w:r>
        <w:rPr>
          <w:color w:val="71847D"/>
          <w:sz w:val="19"/>
        </w:rPr>
        <w:t>法律条文 · 第一百零二条</w:t>
      </w:r>
    </w:p>
    <w:p>
      <w:pPr>
        <w:keepNext/>
        <w:spacing w:line="288" w:lineRule="auto" w:after="80"/>
      </w:pPr>
      <w:r>
        <w:rPr>
          <w:sz w:val="19"/>
        </w:rPr>
        <w:t>第一百零二条</w:t>
      </w:r>
      <w:r>
        <w:rPr>
          <w:sz w:val="19"/>
        </w:rPr>
        <w:br/>
      </w:r>
      <w:r>
        <w:rPr>
          <w:sz w:val="19"/>
        </w:rPr>
        <w:t>劳动者违反本法规定的条件解除劳动合同或者违反劳动合同中约定的保密事项，对用人单位造成经济损失的，应当依法承担赔偿责任。</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LL-2018-082  中华人民共和国劳动法</w:t>
      </w:r>
    </w:p>
    <w:p>
      <w:pPr>
        <w:keepNext/>
        <w:spacing w:line="288" w:lineRule="auto" w:after="80"/>
      </w:pPr>
      <w:r>
        <w:rPr>
          <w:color w:val="71847D"/>
          <w:sz w:val="19"/>
        </w:rPr>
        <w:t>法律条文 · 第八十二条</w:t>
      </w:r>
    </w:p>
    <w:p>
      <w:pPr>
        <w:keepNext/>
        <w:spacing w:line="288" w:lineRule="auto" w:after="80"/>
      </w:pPr>
      <w:r>
        <w:rPr>
          <w:sz w:val="19"/>
        </w:rPr>
        <w:t>第八十二条</w:t>
      </w:r>
      <w:r>
        <w:rPr>
          <w:sz w:val="19"/>
        </w:rPr>
        <w:br/>
      </w:r>
      <w:r>
        <w:rPr>
          <w:sz w:val="19"/>
        </w:rPr>
        <w:t>提出仲裁要求的一方应当自劳动争议发生之日起六十日内向劳动争议仲裁委员会提出书面申请。仲裁裁决一般应在收到仲裁申请的六十日内作出。对仲裁裁决无异议的，当事人必须履行。</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本条原文六十日仲裁期限须结合劳动争议调解仲裁法第二十七条的一年时效及中断、中止、欠薪例外；不得以六十日作为当前通用仲裁时效。</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SUP-L-arbitration-21  中华人民共和国劳动争议调解仲裁法</w:t>
      </w:r>
    </w:p>
    <w:p>
      <w:pPr>
        <w:keepNext/>
        <w:spacing w:line="288" w:lineRule="auto" w:after="80"/>
      </w:pPr>
      <w:r>
        <w:rPr>
          <w:color w:val="71847D"/>
          <w:sz w:val="19"/>
        </w:rPr>
        <w:t>法律条文 · 第二十一条</w:t>
      </w:r>
    </w:p>
    <w:p>
      <w:pPr>
        <w:keepNext/>
        <w:spacing w:line="288" w:lineRule="auto" w:after="80"/>
      </w:pPr>
      <w:r>
        <w:rPr>
          <w:sz w:val="19"/>
        </w:rPr>
        <w:t>第二十一条 劳动争议仲裁委员会负责管辖本区域内发生的劳动争议。</w:t>
      </w:r>
      <w:r>
        <w:rPr>
          <w:sz w:val="19"/>
        </w:rPr>
        <w:br/>
      </w:r>
      <w:r>
        <w:rPr>
          <w:sz w:val="19"/>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O021-facts  普通巡逻保安离职竞业条款不具约束力</w:t>
      </w:r>
    </w:p>
    <w:p>
      <w:pPr>
        <w:keepNext/>
        <w:spacing w:line="288" w:lineRule="auto" w:after="80"/>
      </w:pPr>
      <w:r>
        <w:rPr>
          <w:color w:val="71847D"/>
          <w:sz w:val="19"/>
        </w:rPr>
        <w:t>案例参考 · 案例5 · 基本案情</w:t>
      </w:r>
    </w:p>
    <w:p>
      <w:pPr>
        <w:keepNext/>
        <w:spacing w:line="288" w:lineRule="auto" w:after="80"/>
      </w:pPr>
      <w:r>
        <w:rPr>
          <w:sz w:val="19"/>
        </w:rPr>
        <w:t>【官方发布案例的核对摘要，非完整裁判文书】普通巡逻保安合同附一年竞业限制及20万元违约金。期满后转到另一保安公司，原单位要求支付违约金。</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6">
        <w:r>
          <w:rPr>
            <w:color w:val="287B65"/>
          </w:rPr>
          <w:t>https://www.court.gov.cn/zixun/xiangqing/462311.html</w:t>
        </w:r>
      </w:hyperlink>
    </w:p>
    <w:p>
      <w:pPr>
        <w:pStyle w:val="Heading2"/>
        <w:keepNext/>
      </w:pPr>
      <w:r>
        <w:t>O021-outcome  普通巡逻保安离职竞业条款不具约束力</w:t>
      </w:r>
    </w:p>
    <w:p>
      <w:pPr>
        <w:keepNext/>
        <w:spacing w:line="288" w:lineRule="auto" w:after="80"/>
      </w:pPr>
      <w:r>
        <w:rPr>
          <w:color w:val="71847D"/>
          <w:sz w:val="19"/>
        </w:rPr>
        <w:t>案例参考 · 案例5 · 处理结果</w:t>
      </w:r>
    </w:p>
    <w:p>
      <w:pPr>
        <w:keepNext/>
        <w:spacing w:line="288" w:lineRule="auto" w:after="80"/>
      </w:pPr>
      <w:r>
        <w:rPr>
          <w:sz w:val="19"/>
        </w:rPr>
        <w:t>【官方发布案例的核对摘要，非完整裁判文书】仲裁驳回保安公司的违约金请求。20万元是协议金额，不是实际判赔。</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6">
        <w:r>
          <w:rPr>
            <w:color w:val="287B65"/>
          </w:rPr>
          <w:t>https://www.court.gov.cn/zixun/xiangqing/462311.html</w:t>
        </w:r>
      </w:hyperlink>
    </w:p>
    <w:p>
      <w:pPr>
        <w:pStyle w:val="Heading2"/>
        <w:keepNext/>
      </w:pPr>
      <w:r>
        <w:t>O021-reasoning  普通巡逻保安离职竞业条款不具约束力</w:t>
      </w:r>
    </w:p>
    <w:p>
      <w:pPr>
        <w:keepNext/>
        <w:spacing w:line="288" w:lineRule="auto" w:after="80"/>
      </w:pPr>
      <w:r>
        <w:rPr>
          <w:color w:val="71847D"/>
          <w:sz w:val="19"/>
        </w:rPr>
        <w:t>案例参考 · 案例5 · 认定理由</w:t>
      </w:r>
    </w:p>
    <w:p>
      <w:pPr>
        <w:keepNext/>
        <w:spacing w:line="288" w:lineRule="auto" w:after="80"/>
      </w:pPr>
      <w:r>
        <w:rPr>
          <w:sz w:val="19"/>
        </w:rPr>
        <w:t>【官方发布案例的核对摘要，非完整裁判文书】仲裁查明岗位难以知悉商业秘密，单位亦无证据证明接触保密事项，不属于竞业限制适格主体。</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6">
        <w:r>
          <w:rPr>
            <w:color w:val="287B65"/>
          </w:rPr>
          <w:t>https://www.court.gov.cn/zixun/xiangqing/462311.html</w:t>
        </w:r>
      </w:hyperlink>
    </w:p>
    <w:p>
      <w:pPr>
        <w:pStyle w:val="Heading2"/>
        <w:keepNext/>
      </w:pPr>
      <w:r>
        <w:t>SUP-F20  离职档案与证明</w:t>
      </w:r>
    </w:p>
    <w:p>
      <w:pPr>
        <w:keepNext/>
        <w:spacing w:line="288" w:lineRule="auto" w:after="80"/>
      </w:pPr>
      <w:r>
        <w:rPr>
          <w:color w:val="71847D"/>
          <w:sz w:val="19"/>
        </w:rPr>
        <w:t>辅助资料（团队整理） · 高频问答</w:t>
      </w:r>
    </w:p>
    <w:p>
      <w:pPr>
        <w:keepNext/>
        <w:spacing w:line="288" w:lineRule="auto" w:after="80"/>
      </w:pPr>
      <w:r>
        <w:rPr>
          <w:sz w:val="19"/>
        </w:rPr>
        <w:t>单位应在解除或终止劳动合同时出具证明，并在十五日内办理档案和社保关系转移手续；同时应按约办理工作交接。不将欠款争议等当然作为扣档案理由。</w:t>
      </w:r>
      <w:r>
        <w:rPr>
          <w:sz w:val="19"/>
        </w:rPr>
        <w:br/>
      </w:r>
      <w:r>
        <w:rPr>
          <w:sz w:val="19"/>
        </w:rPr>
        <w:t>关联依据编号：LCL-050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7">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court.gov.cn/zixun/xiangqing/462311.html" TargetMode="External"/><Relationship Id="rId17"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