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2 版  |  生成时间：2026-10-06 21:36</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员工未提前三十日书面通知即自行离职，结合单位已实际承担迟延交付违约责任，赔偿责任风险上升；员工拒不办理工作交接、未交还工具与技术资料，可能就由此扩大的损失承担赔偿责任。相关判断须核对适用条件，不构成违法认定，亦不预设赔偿金额。</w:t>
      </w:r>
    </w:p>
    <w:p>
      <w:r>
        <w:rPr>
          <w:b/>
        </w:rPr>
        <w:t xml:space="preserve">概览依据：  </w:t>
      </w:r>
      <w:r>
        <w:rPr>
          <w:color w:val="71847D"/>
        </w:rPr>
        <w:t>LCL-037、LL-2018-031、LCL-090、LL-2018-102、LCL-050、SUP-F20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员工未提前三十日书面通知即自行离职，结合单位已实际承担迟延交付违约责任，赔偿责任风险上升</w:t>
            </w:r>
          </w:p>
        </w:tc>
        <w:tc>
          <w:tcPr>
            <w:tcW w:type="dxa" w:w="5443"/>
          </w:tcPr>
          <w:p>
            <w:pPr>
              <w:spacing w:line="288" w:lineRule="auto" w:after="140" w:before="140"/>
            </w:pPr>
            <w:r>
              <w:rPr>
                <w:sz w:val="19"/>
              </w:rPr>
              <w:t>固定“未提前三十日通知”的证据链：辞职申请或意思表示的日期与形式、送达记录、单位是否曾同意即时离职或放弃预告要求的沟通。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员工拒不办理工作交接、未交还工具与技术资料，可能就由此扩大的损失承担赔偿责任</w:t>
            </w:r>
          </w:p>
        </w:tc>
        <w:tc>
          <w:tcPr>
            <w:tcW w:type="dxa" w:w="5443"/>
          </w:tcPr>
          <w:p>
            <w:pPr>
              <w:spacing w:line="288" w:lineRule="auto" w:after="140" w:before="140"/>
            </w:pPr>
            <w:r>
              <w:rPr>
                <w:sz w:val="19"/>
              </w:rPr>
              <w:t>按约定或规章制度书面催告员工限期办理交接、返还工具与技术资料，并保留催告内容、送达时间与方式等证据。</w:t>
            </w:r>
          </w:p>
        </w:tc>
      </w:tr>
    </w:tbl>
    <w:p>
      <w:r>
        <w:rPr>
          <w:b/>
        </w:rPr>
        <w:t xml:space="preserve">本版修改  </w:t>
      </w:r>
      <w:r>
        <w:t>用户补充“单位启动备用方案、招聘、委托设计补救并实际承担迟延交付违约责任、员工未提前三十日通知自行离职、尚未提供损失数额与支付凭证”等新事实，据此把原“未预告离职与不交接合并项”拆分为两项各自有具体异常事实支撑的风险，并新增一项关于损失范围与金额待核查的事项；仍不预设赔偿金额，保密竞业、时效、管辖等保持为局限。</w:t>
      </w:r>
    </w:p>
    <w:p>
      <w:pPr>
        <w:pStyle w:val="Heading1"/>
      </w:pPr>
      <w:r>
        <w:t>02  风险详情</w:t>
      </w:r>
    </w:p>
    <w:p>
      <w:pPr>
        <w:pStyle w:val="Heading2"/>
        <w:keepNext/>
      </w:pPr>
      <w:r>
        <w:rPr>
          <w:color w:val="B78224"/>
        </w:rPr>
        <w:t>01  员工未提前三十日书面通知即自行离职，结合单位已实际承担迟延交付违约责任，赔偿责任风险上升  ·  需关注</w:t>
      </w:r>
    </w:p>
    <w:p>
      <w:pPr>
        <w:keepNext/>
        <w:shd w:fill="F3F6F5"/>
      </w:pPr>
      <w:r>
        <w:rPr>
          <w:b/>
        </w:rPr>
        <w:t xml:space="preserve">材料原文  </w:t>
      </w:r>
      <w:r>
        <w:t>员工未提前三十日通知即自行离职。</w:t>
      </w:r>
    </w:p>
    <w:p>
      <w:pPr>
        <w:keepNext/>
      </w:pPr>
      <w:r>
        <w:rPr>
          <w:b/>
        </w:rPr>
        <w:t xml:space="preserve">原文位置  </w:t>
      </w:r>
      <w:r>
        <w:rPr>
          <w:color w:val="71847D"/>
        </w:rPr>
        <w:t>用户补充说明</w:t>
      </w:r>
    </w:p>
    <w:p>
      <w:pPr>
        <w:keepNext/>
      </w:pPr>
      <w:r>
        <w:rPr>
          <w:b/>
        </w:rPr>
        <w:t xml:space="preserve">风险说明  </w:t>
      </w:r>
      <w:r>
        <w:t>本次补充确认“员工未提前三十日通知即自行离职”，劳动合同法第三十七条、劳动法第三十一条要求劳动者提前三十日以书面形式通知用人单位（试用期提前三日）。若确未履行预告义务而径行离岗，属劳动合同法第九十条所称“违反本法规定解除劳动合同”。材料另载明：公司启动备用方案、招聘人员并委托设计补救研发项目，研发设计进度延误、迟延交付样机，公司因此承担违约责任。这些属单位已发生的对外支出线索，可作为主张损失的论据，但劳动合同法第九十条、劳动法第一百零二条要求“造成损失”并以损失与离职行为之间的因果关系为要件。备用方案、招聘与委托设计的费用是否必要、是否可直接归因于该员工离职，以及对外承担的违约责任金额，均未见支付凭证与计算依据。因此本项仍为需核查的责任风险，不能据此认定赔偿必然成立，也不能仅凭合同“造成损失据实赔偿”约定主张违约金或全额赔偿。</w:t>
      </w:r>
    </w:p>
    <w:p>
      <w:pPr>
        <w:keepNext/>
      </w:pPr>
      <w:r>
        <w:rPr>
          <w:b/>
        </w:rPr>
        <w:t xml:space="preserve">分析依据  </w:t>
      </w:r>
      <w:r>
        <w:t>LCL-037 · 中华人民共和国劳动合同法 · 第三十七条</w:t>
      </w:r>
    </w:p>
    <w:p>
      <w:pPr>
        <w:keepNext/>
      </w:pPr>
      <w:r>
        <w:rPr>
          <w:b/>
        </w:rPr>
        <w:t xml:space="preserve">分析依据  </w:t>
      </w:r>
      <w:r>
        <w:t>LL-2018-031 · 中华人民共和国劳动法 · 第三十一条</w:t>
      </w:r>
    </w:p>
    <w:p>
      <w:pPr>
        <w:keepNext/>
      </w:pPr>
      <w:r>
        <w:rPr>
          <w:b/>
        </w:rPr>
        <w:t xml:space="preserve">分析依据  </w:t>
      </w:r>
      <w:r>
        <w:t>LCL-090 · 中华人民共和国劳动合同法 · 第九十条</w:t>
      </w:r>
    </w:p>
    <w:p>
      <w:pPr>
        <w:keepNext/>
      </w:pPr>
      <w:r>
        <w:rPr>
          <w:b/>
        </w:rPr>
        <w:t xml:space="preserve">分析依据  </w:t>
      </w:r>
      <w:r>
        <w:t>LL-2018-102 · 中华人民共和国劳动法 · 第一百零二条</w:t>
      </w:r>
    </w:p>
    <w:p>
      <w:pPr>
        <w:keepNext/>
      </w:pPr>
      <w:r>
        <w:rPr>
          <w:color w:val="287B65"/>
        </w:rPr>
        <w:t>建议行动</w:t>
      </w:r>
    </w:p>
    <w:p>
      <w:pPr>
        <w:pStyle w:val="ListBullet"/>
        <w:keepNext/>
      </w:pPr>
      <w:r>
        <w:t>固定“未提前三十日通知”的证据链：辞职申请或意思表示的日期与形式、送达记录、单位是否曾同意即时离职或放弃预告要求的沟通。</w:t>
      </w:r>
    </w:p>
    <w:p>
      <w:pPr>
        <w:pStyle w:val="ListBullet"/>
        <w:keepNext/>
      </w:pPr>
      <w:r>
        <w:t>就已发生的对外支出逐项取证：备用方案与招聘的付款凭证、委托设计合同及付款记录、样机迟延交付对应的违约赔偿支付凭证或生效裁判/调解文书。</w:t>
      </w:r>
    </w:p>
    <w:p>
      <w:pPr>
        <w:pStyle w:val="ListBullet"/>
        <w:keepNext/>
      </w:pPr>
      <w:r>
        <w:t>准备因果关系说明：证明开发进度与交付义务的具体关联、替代安排是否必要且合理、是否存在其他致延因素（人员变动、需求变更、客户原因等），避免将全部损失当然归于该员工。</w:t>
      </w:r>
    </w:p>
    <w:p>
      <w:pPr>
        <w:pStyle w:val="ListBullet"/>
        <w:keepNext w:val="0"/>
      </w:pPr>
      <w:r>
        <w:t>对“尚未提供实际损失数额和具体支付凭证”的部分暂不主张确定金额，可先主张确认责任基础，保留后续补充举证的空间；若对方向员工主张赔偿，可要求其就数额与因果举证。</w:t>
      </w:r>
    </w:p>
    <w:p>
      <w:pPr>
        <w:pStyle w:val="Heading2"/>
        <w:keepNext/>
      </w:pPr>
      <w:r>
        <w:rPr>
          <w:color w:val="B78224"/>
        </w:rPr>
        <w:t>02  员工拒不办理工作交接、未交还工具与技术资料，可能就由此扩大的损失承担赔偿责任  ·  需关注</w:t>
      </w:r>
    </w:p>
    <w:p>
      <w:pPr>
        <w:keepNext/>
        <w:shd w:fill="F3F6F5"/>
      </w:pPr>
      <w:r>
        <w:rPr>
          <w:b/>
        </w:rPr>
        <w:t xml:space="preserve">材料原文  </w:t>
      </w:r>
      <w:r>
        <w:t>2022年2月15日，员工提出辞职，随即离开且拒不办理工作交接。</w:t>
      </w:r>
    </w:p>
    <w:p>
      <w:pPr>
        <w:keepNext/>
      </w:pPr>
      <w:r>
        <w:rPr>
          <w:b/>
        </w:rPr>
        <w:t xml:space="preserve">原文位置  </w:t>
      </w:r>
      <w:r>
        <w:rPr>
          <w:color w:val="71847D"/>
        </w:rPr>
        <w:t>输入文字.txt · 第1页</w:t>
      </w:r>
    </w:p>
    <w:p>
      <w:pPr>
        <w:keepNext/>
      </w:pPr>
      <w:r>
        <w:rPr>
          <w:b/>
        </w:rPr>
        <w:t xml:space="preserve">风险说明  </w:t>
      </w:r>
      <w:r>
        <w:t>材料载明员工“随即离开且拒不办理工作交接”，合同亦约定离职应办理交接手续、交还工具与技术资料、造成损失据实赔偿。劳动合同法第五十条第二款要求劳动者按照双方约定办理工作交接，用人单位则应在解除或终止时出具证明并在十五日内办理档案和社保关系转移手续、在办结交接时支付经济补偿。本次补充的迟延交付与对外违约责任，如能显示与资料、工具未交还或交接缺失直接相关，可作为该义务违反所致损失的论据；但材料仍未载明工具、技术资料的去向与价值，亦未说明单位是否已书面催告交接，故只能作为需核查的责任风险。单位不得以未交接为由拒绝履行出具离职证明、转移档案社保等法定义务。</w:t>
      </w:r>
    </w:p>
    <w:p>
      <w:pPr>
        <w:keepNext/>
      </w:pPr>
      <w:r>
        <w:rPr>
          <w:b/>
        </w:rPr>
        <w:t xml:space="preserve">分析依据  </w:t>
      </w:r>
      <w:r>
        <w:t>LCL-050 · 中华人民共和国劳动合同法 · 第五十条</w:t>
      </w:r>
    </w:p>
    <w:p>
      <w:pPr>
        <w:keepNext/>
      </w:pPr>
      <w:r>
        <w:rPr>
          <w:b/>
        </w:rPr>
        <w:t xml:space="preserve">分析依据  </w:t>
      </w:r>
      <w:r>
        <w:t>SUP-F20 · 离职档案与证明 · 高频问答</w:t>
      </w:r>
    </w:p>
    <w:p>
      <w:pPr>
        <w:keepNext/>
      </w:pPr>
      <w:r>
        <w:rPr>
          <w:b/>
        </w:rPr>
        <w:t xml:space="preserve">分析依据  </w:t>
      </w:r>
      <w:r>
        <w:t>LCL-090 · 中华人民共和国劳动合同法 · 第九十条</w:t>
      </w:r>
    </w:p>
    <w:p>
      <w:pPr>
        <w:keepNext/>
      </w:pPr>
      <w:r>
        <w:rPr>
          <w:b/>
        </w:rPr>
        <w:t xml:space="preserve">分析依据  </w:t>
      </w:r>
      <w:r>
        <w:t>LL-2018-102 · 中华人民共和国劳动法 · 第一百零二条</w:t>
      </w:r>
    </w:p>
    <w:p>
      <w:pPr>
        <w:keepNext/>
      </w:pPr>
      <w:r>
        <w:rPr>
          <w:color w:val="287B65"/>
        </w:rPr>
        <w:t>建议行动</w:t>
      </w:r>
    </w:p>
    <w:p>
      <w:pPr>
        <w:pStyle w:val="ListBullet"/>
        <w:keepNext/>
      </w:pPr>
      <w:r>
        <w:t>按约定或规章制度书面催告员工限期办理交接、返还工具与技术资料，并保留催告内容、送达时间与方式等证据。</w:t>
      </w:r>
    </w:p>
    <w:p>
      <w:pPr>
        <w:pStyle w:val="ListBullet"/>
        <w:keepNext/>
      </w:pPr>
      <w:r>
        <w:t>制作应交还物品与技术资料的清单，注明名称、数量、价值或形成成本，并保存领用、保管记录。</w:t>
      </w:r>
    </w:p>
    <w:p>
      <w:pPr>
        <w:pStyle w:val="ListBullet"/>
        <w:keepNext/>
      </w:pPr>
      <w:r>
        <w:t>区分分别主张：交接义务的违反与损失赔偿可分别主张，但均需举证实际损失与因果关系；不把“未交接”本身直接等同于确定赔偿。</w:t>
      </w:r>
    </w:p>
    <w:p>
      <w:pPr>
        <w:pStyle w:val="ListBullet"/>
        <w:keepNext/>
      </w:pPr>
      <w:r>
        <w:t>单位方注意继续履行出具离职证明、十五日内办理档案与社会保险关系转移义务，不因交接或损失争议而扣留档案。</w:t>
      </w:r>
    </w:p>
    <w:p>
      <w:pPr>
        <w:pStyle w:val="ListBullet"/>
        <w:keepNext w:val="0"/>
      </w:pPr>
      <w:r>
        <w:t>员工一方如已部分完成交接，可整理交接记录、单位拒收或未安排交接的沟通证据，以抗辩“完全不履行交接”的指责。</w:t>
      </w:r>
    </w:p>
    <w:p>
      <w:pPr>
        <w:pStyle w:val="Heading1"/>
      </w:pPr>
      <w:r>
        <w:t>03  待核实事项与分析局限</w:t>
      </w:r>
    </w:p>
    <w:p>
      <w:pPr>
        <w:pStyle w:val="ListBullet"/>
      </w:pPr>
      <w:r>
        <w:t>材料为“研发岗位合同公开摘录（非原件）”，非合同原件，无法核验完整性、签署情况，以及是否存在附件、保密协议、竞业限制或违约金条款；收录内容可能经过删减。</w:t>
      </w:r>
    </w:p>
    <w:p>
      <w:pPr>
        <w:pStyle w:val="ListBullet"/>
      </w:pPr>
      <w:r>
        <w:t>本次补充事实仍为概括表述（备用方案、招聘人员、委托设计补救、迟延交付样机、承担违约责任），未载明实际损失数额、具体支付凭证、对外违约责任金额及其法律文书依据，因此无法评估赔偿能否成立及可能的数额。</w:t>
      </w:r>
    </w:p>
    <w:p>
      <w:pPr>
        <w:pStyle w:val="ListBullet"/>
      </w:pPr>
      <w:r>
        <w:t>材料未载明员工辞职是否以书面形式提交、送达日期、单位是否同意即时离职或放弃预告要求；亦未载明单位是否已书面催告交接、是否已履行出具离职证明与十五日内办理档案社保转移的义务。</w:t>
      </w:r>
    </w:p>
    <w:p>
      <w:pPr>
        <w:pStyle w:val="ListBullet"/>
      </w:pPr>
      <w:r>
        <w:t>材料未载明工具、技术资料的去向与价值，也未载明员工去向及是否存在使用原单位技术资料的情形，无法判断是否另有违反保密或竞业义务并造成损失的情形。</w:t>
      </w:r>
    </w:p>
    <w:p>
      <w:pPr>
        <w:pStyle w:val="ListBullet"/>
      </w:pPr>
      <w:r>
        <w:t>核查与条件分析（不计为风险）：研发岗位是否负有保密或竞业义务、是否另行签订保密协议并约定竞业限制及按月经济补偿，材料未披露。劳动合同法第二十三条允许对负有保密义务的劳动者约定保密与竞业限制；劳动合同法第九十条将违反保密或竞业限制并造成损失列为可主张赔偿情形。仅凭“研发岗位”不足以认定负有竞业限制义务或存在泄密损失；相关官方案例仅为个案参考，案情与结果不能直接套用。</w:t>
      </w:r>
    </w:p>
    <w:p>
      <w:pPr>
        <w:pStyle w:val="ListBullet"/>
      </w:pPr>
      <w:r>
        <w:t>材料未载明任何一方是否已申请仲裁、申请日期、是否主张过权利或对方是否同意履行义务，无法判断仲裁时效是否届满。劳动争议申请仲裁的时效期间为一年，自知道或应当知道权利被侵害之日起计算，存在中断、中止情形；本案事实发生在2022年，用户明确不假设今天首次提出争议，故只能核查当年的主张或申请日期，不能认定已过或未过时效。</w:t>
      </w:r>
    </w:p>
    <w:p>
      <w:pPr>
        <w:pStyle w:val="ListBullet"/>
      </w:pPr>
      <w:r>
        <w:t>材料未载明劳动合同履行地、单位名称与所在地，无法确认管辖机构（劳动争议由劳动合同履行地或用人单位所在地仲裁委管辖）与适用地方性规则。</w:t>
      </w:r>
    </w:p>
    <w:p>
      <w:pPr>
        <w:pStyle w:val="ListBullet"/>
      </w:pPr>
      <w:r>
        <w:t>材料中未出现单位欠付工资、未缴社保、违法解除、扣押证件或收取财物等异常条款或行为，不能仅凭本摘录推断单位存在违法用工风险；单位侧主张主要取决于本案未预告离职与不交接是否造成损失及是否在时效内主张，属事实与举证问题。</w:t>
      </w:r>
    </w:p>
    <w:p>
      <w:pPr>
        <w:pStyle w:val="ListBullet"/>
      </w:pPr>
      <w:r>
        <w:t>本次分析基于现有材料与当年事实，不构成裁判结论或违法认定，不保证任何赔偿或请求获得支持；材料文字中的分析要求属于用户指令，不作为用工风险事实认定。</w:t>
      </w:r>
    </w:p>
    <w:p>
      <w:pPr>
        <w:pStyle w:val="ListBullet"/>
      </w:pPr>
      <w:r>
        <w:t>核查与条件分析（不计为风险）：单位主张的损失范围与金额尚待核查，不宜预设赔偿数额。用户在补充中明确“尚未提供实际损失数额和具体支付凭证”。劳动合同法第九十条、劳动法第一百零二条支撑的是“给用人单位造成损失”才承担赔偿责任，并不支持以对外违约责任金额或备用方案支出金额直接等同于员工赔偿数额。损失是否存在、数额多少、是否实际支付、与离职行为是否有因果关系，均属有待举证与核查的事项。本项为需核查事项，不是对员工或单位的违法认定，也不预设赔偿金额。建议：要求主张方提供分项损失清单及对应凭证：对外违约赔偿的支付凭证、委托设计合同与付款记录、招聘与备用方案的直接支出凭证；核查损失的合理性：替代安排是否必要、支出是否已实际发生、是否包含本应由单位承担的固有经营风险；核查减损情况：单位是否及时采取替代措施、是否存在扩大损失的情形；在数额与凭证补齐前，可仅为确认责任基础而保留主张，不对金额作确定表述。</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LL-2018-031  中华人民共和国劳动法</w:t>
      </w:r>
    </w:p>
    <w:p>
      <w:pPr>
        <w:keepNext/>
        <w:spacing w:line="288" w:lineRule="auto" w:after="80"/>
      </w:pPr>
      <w:r>
        <w:rPr>
          <w:color w:val="71847D"/>
          <w:sz w:val="19"/>
        </w:rPr>
        <w:t>法律条文 · 第三十一条</w:t>
      </w:r>
    </w:p>
    <w:p>
      <w:pPr>
        <w:keepNext/>
        <w:spacing w:line="288" w:lineRule="auto" w:after="80"/>
      </w:pPr>
      <w:r>
        <w:rPr>
          <w:sz w:val="19"/>
        </w:rPr>
        <w:t>第三十一条</w:t>
      </w:r>
      <w:r>
        <w:rPr>
          <w:sz w:val="19"/>
        </w:rPr>
        <w:br/>
      </w:r>
      <w:r>
        <w:rPr>
          <w:sz w:val="19"/>
        </w:rPr>
        <w:t>劳动者解除劳动合同，应当提前三十日以书面形式通知用人单位。</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LL-2018-102  中华人民共和国劳动法</w:t>
      </w:r>
    </w:p>
    <w:p>
      <w:pPr>
        <w:keepNext/>
        <w:spacing w:line="288" w:lineRule="auto" w:after="80"/>
      </w:pPr>
      <w:r>
        <w:rPr>
          <w:color w:val="71847D"/>
          <w:sz w:val="19"/>
        </w:rPr>
        <w:t>法律条文 · 第一百零二条</w:t>
      </w:r>
    </w:p>
    <w:p>
      <w:pPr>
        <w:keepNext/>
        <w:spacing w:line="288" w:lineRule="auto" w:after="80"/>
      </w:pPr>
      <w:r>
        <w:rPr>
          <w:sz w:val="19"/>
        </w:rPr>
        <w:t>第一百零二条</w:t>
      </w:r>
      <w:r>
        <w:rPr>
          <w:sz w:val="19"/>
        </w:rPr>
        <w:br/>
      </w:r>
      <w:r>
        <w:rPr>
          <w:sz w:val="19"/>
        </w:rPr>
        <w:t>劳动者违反本法规定的条件解除劳动合同或者违反劳动合同中约定的保密事项，对用人单位造成经济损失的，应当依法承担赔偿责任。</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SUP-F20  离职档案与证明</w:t>
      </w:r>
    </w:p>
    <w:p>
      <w:pPr>
        <w:keepNext/>
        <w:spacing w:line="288" w:lineRule="auto" w:after="80"/>
      </w:pPr>
      <w:r>
        <w:rPr>
          <w:color w:val="71847D"/>
          <w:sz w:val="19"/>
        </w:rPr>
        <w:t>辅助资料（团队整理） · 高频问答</w:t>
      </w:r>
    </w:p>
    <w:p>
      <w:pPr>
        <w:keepNext/>
        <w:spacing w:line="288" w:lineRule="auto" w:after="80"/>
      </w:pPr>
      <w:r>
        <w:rPr>
          <w:sz w:val="19"/>
        </w:rPr>
        <w:t>单位应在解除或终止劳动合同时出具证明，并在十五日内办理档案和社保关系转移手续；同时应按约办理工作交接。不将欠款争议等当然作为扣档案理由。</w:t>
      </w:r>
      <w:r>
        <w:rPr>
          <w:sz w:val="19"/>
        </w:rPr>
        <w:br/>
      </w:r>
      <w:r>
        <w:rPr>
          <w:sz w:val="19"/>
        </w:rPr>
        <w:t>关联依据编号：LCL-050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