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真实案例-研发员工离职拒交接</w:t>
      </w:r>
    </w:p>
    <w:p>
      <w:r>
        <w:rPr>
          <w:color w:val="71847D"/>
        </w:rPr>
        <w:t>第 1 版  |  生成时间：2026-10-06 21:39</w:t>
      </w:r>
    </w:p>
    <w:p>
      <w:r>
        <w:rPr>
          <w:color w:val="71847D"/>
        </w:rPr>
        <w:t>本报告依据已提供材料进行风险提示；风险等级不是违法认定或风险概率。</w:t>
      </w:r>
    </w:p>
    <w:p>
      <w:pPr>
        <w:pStyle w:val="Heading1"/>
      </w:pPr>
      <w:r>
        <w:t>01  结论与风险概览</w:t>
      </w:r>
    </w:p>
    <w:p>
      <w:pPr>
        <w:shd w:fill="EDF6F1"/>
      </w:pPr>
      <w:r>
        <w:t>根据已提供事实，员工提出辞职后随即离开且拒不办理交接，主要风险集中在未依法预告解除及拒绝交接所涉损失赔偿两方面；相关请求能否获支持取决于单位能否证明实际损失与因果关系，本报告不作违法认定，也不保证获赔。</w:t>
      </w:r>
    </w:p>
    <w:p>
      <w:r>
        <w:rPr>
          <w:b/>
        </w:rPr>
        <w:t xml:space="preserve">概览依据：  </w:t>
      </w:r>
      <w:r>
        <w:rPr>
          <w:color w:val="71847D"/>
        </w:rPr>
        <w:t>LCL-037、LCL-090、LCL-050</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未依法预告离职、拒绝交接所涉损失赔偿风险</w:t>
            </w:r>
          </w:p>
        </w:tc>
        <w:tc>
          <w:tcPr>
            <w:tcW w:type="dxa" w:w="5443"/>
          </w:tcPr>
          <w:p>
            <w:pPr>
              <w:spacing w:line="288" w:lineRule="auto" w:after="140" w:before="140"/>
            </w:pPr>
            <w:r>
              <w:rPr>
                <w:sz w:val="19"/>
              </w:rPr>
              <w:t>核实辞职是书面还是口头、送达时间与方式、是否被批准或双方是否另有即时解除约定。</w:t>
            </w:r>
          </w:p>
        </w:tc>
      </w:tr>
    </w:tbl>
    <w:p>
      <w:r>
        <w:rPr>
          <w:b/>
        </w:rPr>
        <w:t xml:space="preserve">本版修改  </w:t>
      </w:r>
      <w:r>
        <w:t>合并原风险中的预告解除与交接赔偿为同一解除暨交接损失赔偿风险；将保密/竞业核查移入limitations，避免作为独立风险；补充引用原文quote_id。</w:t>
      </w:r>
    </w:p>
    <w:p>
      <w:pPr>
        <w:pStyle w:val="Heading1"/>
      </w:pPr>
      <w:r>
        <w:t>02  风险详情</w:t>
      </w:r>
    </w:p>
    <w:p>
      <w:pPr>
        <w:pStyle w:val="Heading2"/>
        <w:keepNext/>
      </w:pPr>
      <w:r>
        <w:rPr>
          <w:color w:val="B78224"/>
        </w:rPr>
        <w:t>01  未依法预告离职、拒绝交接所涉损失赔偿风险  ·  需关注</w:t>
      </w:r>
    </w:p>
    <w:p>
      <w:pPr>
        <w:keepNext/>
        <w:shd w:fill="F3F6F5"/>
      </w:pPr>
      <w:r>
        <w:rPr>
          <w:b/>
        </w:rPr>
        <w:t xml:space="preserve">材料原文  </w:t>
      </w:r>
      <w:r>
        <w:t>2022年2月15日，员工提出辞职，随即离开且拒不办理工作交接。</w:t>
      </w:r>
    </w:p>
    <w:p>
      <w:pPr>
        <w:keepNext/>
      </w:pPr>
      <w:r>
        <w:rPr>
          <w:b/>
        </w:rPr>
        <w:t xml:space="preserve">原文位置  </w:t>
      </w:r>
      <w:r>
        <w:rPr>
          <w:color w:val="71847D"/>
        </w:rPr>
        <w:t>输入文字.txt · 第1页</w:t>
      </w:r>
    </w:p>
    <w:p>
      <w:pPr>
        <w:keepNext/>
      </w:pPr>
      <w:r>
        <w:rPr>
          <w:b/>
        </w:rPr>
        <w:t xml:space="preserve">风险说明  </w:t>
      </w:r>
      <w:r>
        <w:t>材料显示员工于2022年2月15日提出辞职后随即离开，未见提前三十日以书面形式通知的记载。依劳动合同法第三十七条，正式期劳动者应提前三十日以书面形式通知方可解除；依第九十条，劳动者违反本法规定解除劳动合同给用人单位造成损失的，应当承担赔偿责任。但第九十条的赔偿以单位证明实际损失、损失与违法解除之间的因果关系及具体数额为前提，材料未提供任何损失证据，故不宜直接推定额度。</w:t>
      </w:r>
      <w:r>
        <w:br/>
      </w:r>
      <w:r/>
      <w:r>
        <w:br/>
      </w:r>
      <w:r>
        <w:t>合同约定离职应办理工作交接、交还工具与技术资料，造成损失据实赔偿；材料同时显示员工拒不办理交接。依劳动合同法第五十条第二款，劳动者应当按照双方约定办理工作交接。但该条本身未规定普遍性的违反交接赔偿条款，单位据此主张赔偿时，仍须回到约定内容与第九十条等具体规则，证明存在受法律保护的损失（如工具、资料未返还可量化的价值、因未交接造成的实际损失）。约定中“据实赔偿”只是损失计算的原则性表述，不等于单位可任意主张金额。</w:t>
      </w:r>
    </w:p>
    <w:p>
      <w:pPr>
        <w:keepNext/>
      </w:pPr>
      <w:r>
        <w:rPr>
          <w:b/>
        </w:rPr>
        <w:t xml:space="preserve">分析依据  </w:t>
      </w:r>
      <w:r>
        <w:t>LCL-037 · 中华人民共和国劳动合同法 · 第三十七条</w:t>
      </w:r>
    </w:p>
    <w:p>
      <w:pPr>
        <w:keepNext/>
      </w:pPr>
      <w:r>
        <w:rPr>
          <w:b/>
        </w:rPr>
        <w:t xml:space="preserve">分析依据  </w:t>
      </w:r>
      <w:r>
        <w:t>LCL-090 · 中华人民共和国劳动合同法 · 第九十条</w:t>
      </w:r>
    </w:p>
    <w:p>
      <w:pPr>
        <w:keepNext/>
      </w:pPr>
      <w:r>
        <w:rPr>
          <w:b/>
        </w:rPr>
        <w:t xml:space="preserve">分析依据  </w:t>
      </w:r>
      <w:r>
        <w:t>LCL-050 · 中华人民共和国劳动合同法 · 第五十条</w:t>
      </w:r>
    </w:p>
    <w:p>
      <w:pPr>
        <w:keepNext/>
      </w:pPr>
      <w:r>
        <w:rPr>
          <w:color w:val="287B65"/>
        </w:rPr>
        <w:t>建议行动</w:t>
      </w:r>
    </w:p>
    <w:p>
      <w:pPr>
        <w:pStyle w:val="ListBullet"/>
        <w:keepNext/>
      </w:pPr>
      <w:r>
        <w:t>核实辞职是书面还是口头、送达时间与方式、是否被批准或双方是否另有即时解除约定。</w:t>
      </w:r>
    </w:p>
    <w:p>
      <w:pPr>
        <w:pStyle w:val="ListBullet"/>
        <w:keepNext/>
      </w:pPr>
      <w:r>
        <w:t>单位若主张赔偿，需就岗位空缺、项目延误、替代用工成本等实际损失及因果关系举证；员工可就损失真实性及因果关系提出异议。</w:t>
      </w:r>
    </w:p>
    <w:p>
      <w:pPr>
        <w:pStyle w:val="ListBullet"/>
        <w:keepNext/>
      </w:pPr>
      <w:r>
        <w:t>若进入程序，先确认是否已经过仲裁申请及时间节点，以判断救济路径。</w:t>
      </w:r>
    </w:p>
    <w:p>
      <w:pPr>
        <w:pStyle w:val="ListBullet"/>
        <w:keepNext/>
      </w:pPr>
      <w:r>
        <w:t>核实员工实际持有、未交还的物品清单（工具、技术资料、账号权限、载体）及其价值凭证。</w:t>
      </w:r>
    </w:p>
    <w:p>
      <w:pPr>
        <w:pStyle w:val="ListBullet"/>
        <w:keepNext/>
      </w:pPr>
      <w:r>
        <w:t>核实未交接是否造成可量化损失，例如资料找回成本、替代交付成本、项目违约损失。</w:t>
      </w:r>
    </w:p>
    <w:p>
      <w:pPr>
        <w:pStyle w:val="ListBullet"/>
        <w:keepNext w:val="0"/>
      </w:pPr>
      <w:r>
        <w:t>保留书面交接通知与催告记录；单位不得以未交接为由扣留档案或拒绝出具离职证明，此类义务另有规定。</w:t>
      </w:r>
    </w:p>
    <w:p>
      <w:pPr>
        <w:pStyle w:val="Heading1"/>
      </w:pPr>
      <w:r>
        <w:t>03  待核实事项与分析局限</w:t>
      </w:r>
    </w:p>
    <w:p>
      <w:pPr>
        <w:pStyle w:val="ListBullet"/>
      </w:pPr>
      <w:r>
        <w:t>材料为“公开摘录（非原件）”，未见完整合同条款，条款效力与约定细节无法确认；摘录与原件的差异可能影响结论。</w:t>
      </w:r>
    </w:p>
    <w:p>
      <w:pPr>
        <w:pStyle w:val="ListBullet"/>
      </w:pPr>
      <w:r>
        <w:t>未提供劳动合同完整原件、员工离职通知的形式与送达证据、任何损失证据（工具/资料清单、价值凭证、项目延误记录）及已发生的争议程序材料。</w:t>
      </w:r>
    </w:p>
    <w:p>
      <w:pPr>
        <w:pStyle w:val="ListBullet"/>
      </w:pPr>
      <w:r>
        <w:t>未提供合同是否含保密、竞业限制、培训服务期、违约金等条款的信息，相关风险无法评估。</w:t>
      </w:r>
    </w:p>
    <w:p>
      <w:pPr>
        <w:pStyle w:val="ListBullet"/>
      </w:pPr>
      <w:r>
        <w:t>未说明单位是否出具离职证明、办理档案和社保转移，以及是否存在扣发工资、扣押证件等实际侵害事实，故不单独列出。</w:t>
      </w:r>
    </w:p>
    <w:p>
      <w:pPr>
        <w:pStyle w:val="ListBullet"/>
      </w:pPr>
      <w:r>
        <w:t>未提供2022年争议是否曾申请仲裁、申请日期及处理结果，无法判断时效与救济状态；本报告不作时效认定。</w:t>
      </w:r>
    </w:p>
    <w:p>
      <w:pPr>
        <w:pStyle w:val="ListBullet"/>
      </w:pPr>
      <w:r>
        <w:t>本报告基于当年（2022年）有效规则分析，仅为风险信号与核查方向，不构成法律意见，也不能替代仲裁或法院认定，不保证任何请求获支持。</w:t>
      </w:r>
    </w:p>
    <w:p>
      <w:pPr>
        <w:pStyle w:val="ListBullet"/>
      </w:pPr>
      <w:r>
        <w:t>摘录未显示保密与竞业限制约定，研发岗位信息接触范围待核实；材料仅为公开摘录且非原件，未见保密条款、竞业限制条款及补偿约定，也未说明员工实际接触的技术秘密范围。依劳动合同法第九十条，只有在存在保密或竞业限制约定、员工违反并造成损失时才可能承担相应赔偿责任；不因岗位名为研发即自动产生此类义务或责任。因此现阶段只能作为核查事项，不能认定员工负有竞业或保密违约责任。</w:t>
      </w:r>
    </w:p>
    <w:p>
      <w:pPr>
        <w:pStyle w:val="Heading1"/>
      </w:pPr>
      <w:r>
        <w:t>04  依据与来源</w:t>
      </w:r>
    </w:p>
    <w:p>
      <w:r>
        <w:rPr>
          <w:color w:val="71847D"/>
        </w:rPr>
        <w:t>法条、风险提示、指南及案例分别标注；案例结论只用于个案参考。</w:t>
      </w:r>
    </w:p>
    <w:p>
      <w:pPr>
        <w:pStyle w:val="Heading2"/>
        <w:keepNext/>
      </w:pPr>
      <w:r>
        <w:t>LCL-037  中华人民共和国劳动合同法</w:t>
      </w:r>
    </w:p>
    <w:p>
      <w:pPr>
        <w:keepNext/>
        <w:spacing w:line="288" w:lineRule="auto" w:after="80"/>
      </w:pPr>
      <w:r>
        <w:rPr>
          <w:color w:val="71847D"/>
          <w:sz w:val="19"/>
        </w:rPr>
        <w:t>法律条文 · 第三十七条</w:t>
      </w:r>
    </w:p>
    <w:p>
      <w:pPr>
        <w:keepNext/>
        <w:spacing w:line="288" w:lineRule="auto" w:after="80"/>
      </w:pPr>
      <w:r>
        <w:rPr>
          <w:sz w:val="19"/>
        </w:rPr>
        <w:t>第三十七条　劳动者提前三十日以书面形式通知用人单位，可以解除劳动合同。劳动者在试用期内提前三日通知用人单位，可以解除劳动合同。</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LCL-090  中华人民共和国劳动合同法</w:t>
      </w:r>
    </w:p>
    <w:p>
      <w:pPr>
        <w:keepNext/>
        <w:spacing w:line="288" w:lineRule="auto" w:after="80"/>
      </w:pPr>
      <w:r>
        <w:rPr>
          <w:color w:val="71847D"/>
          <w:sz w:val="19"/>
        </w:rPr>
        <w:t>法律条文 · 第九十条</w:t>
      </w:r>
    </w:p>
    <w:p>
      <w:pPr>
        <w:keepNext/>
        <w:spacing w:line="288" w:lineRule="auto" w:after="80"/>
      </w:pPr>
      <w:r>
        <w:rPr>
          <w:sz w:val="19"/>
        </w:rPr>
        <w:t>第九十条　劳动者违反本法规定解除劳动合同，或者违反劳动合同中约定的保密义务或者竞业限制，给用人单位造成损失的，应当承担赔偿责任。</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LCL-050  中华人民共和国劳动合同法</w:t>
      </w:r>
    </w:p>
    <w:p>
      <w:pPr>
        <w:keepNext/>
        <w:spacing w:line="288" w:lineRule="auto" w:after="80"/>
      </w:pPr>
      <w:r>
        <w:rPr>
          <w:color w:val="71847D"/>
          <w:sz w:val="19"/>
        </w:rPr>
        <w:t>法律条文 · 第五十条</w:t>
      </w:r>
    </w:p>
    <w:p>
      <w:pPr>
        <w:keepNext/>
        <w:spacing w:line="288" w:lineRule="auto" w:after="80"/>
      </w:pPr>
      <w:r>
        <w:rPr>
          <w:sz w:val="19"/>
        </w:rPr>
        <w:t>第五十条　用人单位应当在解除或者终止劳动合同时出具解除或者终止劳动合同的证明，并在十五日内为劳动者办理档案和社会保险关系转移手续。</w:t>
      </w:r>
      <w:r>
        <w:rPr>
          <w:sz w:val="19"/>
        </w:rPr>
        <w:br/>
      </w:r>
      <w:r>
        <w:rPr>
          <w:sz w:val="19"/>
        </w:rPr>
        <w:t>劳动者应当按照双方约定，办理工作交接。用人单位依照本法有关规定应当向劳动者支付经济补偿的，在办结工作交接时支付。</w:t>
      </w:r>
      <w:r>
        <w:rPr>
          <w:sz w:val="19"/>
        </w:rPr>
        <w:br/>
      </w:r>
      <w:r>
        <w:rPr>
          <w:sz w:val="19"/>
        </w:rPr>
        <w:t>用人单位对已经解除或者终止的劳动合同的文本，至少保存二年备查。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