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真实案例-研发员工离职拒交接</w:t>
      </w:r>
    </w:p>
    <w:p>
      <w:r>
        <w:rPr>
          <w:color w:val="71847D"/>
        </w:rPr>
        <w:t>第 2 版  |  生成时间：2026-10-06 21:39</w:t>
      </w:r>
    </w:p>
    <w:p>
      <w:r>
        <w:rPr>
          <w:color w:val="71847D"/>
        </w:rPr>
        <w:t>本报告依据已提供材料进行风险提示；风险等级不是违法认定或风险概率。</w:t>
      </w:r>
    </w:p>
    <w:p>
      <w:pPr>
        <w:pStyle w:val="Heading1"/>
      </w:pPr>
      <w:r>
        <w:t>01  结论与风险概览</w:t>
      </w:r>
    </w:p>
    <w:p>
      <w:pPr>
        <w:shd w:fill="EDF6F1"/>
      </w:pPr>
      <w:r>
        <w:t>根据已提供事实，员工于2022年2月15日提出辞职后随即离开且拒不办理工作交接，并已确认未提前三十日通知即自行离职。补充事实显示单位因该离职启动了备用方案、招聘并委托设计补救研发项目，研发进度延误、样机迟延交付，单位并对外承担了违约责任。原“未依法预告离职、拒绝交接所涉损失赔偿”风险的支持力度上升，但实际损失数额与支付凭证仍未提供，赔偿金额、因果关系与归责范围仍待证明，本报告不预设金额、不保证获支持。</w:t>
      </w:r>
    </w:p>
    <w:p>
      <w:r>
        <w:rPr>
          <w:b/>
        </w:rPr>
        <w:t xml:space="preserve">概览依据：  </w:t>
      </w:r>
      <w:r>
        <w:rPr>
          <w:color w:val="71847D"/>
        </w:rPr>
        <w:t>LCL-037、LCL-090、LL-2018-102、LCL-050</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未依法预告离职、拒绝交接所涉单位损失赔偿风险</w:t>
            </w:r>
          </w:p>
        </w:tc>
        <w:tc>
          <w:tcPr>
            <w:tcW w:type="dxa" w:w="5443"/>
          </w:tcPr>
          <w:p>
            <w:pPr>
              <w:spacing w:line="288" w:lineRule="auto" w:after="140" w:before="140"/>
            </w:pPr>
            <w:r>
              <w:rPr>
                <w:sz w:val="19"/>
              </w:rPr>
              <w:t>调取并整理时间线：辞职提出与送达方式、最后到岗日、备用方案启动时间、招聘与委托设计协议的签订与付款时间、样机原定与迟延交付时间、单位承担违约责任的时间与金额。</w:t>
            </w:r>
          </w:p>
        </w:tc>
      </w:tr>
    </w:tbl>
    <w:p>
      <w:r>
        <w:rPr>
          <w:b/>
        </w:rPr>
        <w:t xml:space="preserve">本版修改  </w:t>
      </w:r>
      <w:r>
        <w:t>补充单位侧损失事实（备用方案、招聘、委托设计补救、样机迟延、承担违约责任）及员工未提前三十日通知的明确事实，将该行为与损失赔偿合并强化为一项风险；损失数额与凭证仍缺，列入limitations，不预设金额；保密/竞业维持为核查事项不单列。</w:t>
      </w:r>
    </w:p>
    <w:p>
      <w:pPr>
        <w:pStyle w:val="Heading1"/>
      </w:pPr>
      <w:r>
        <w:t>02  风险详情</w:t>
      </w:r>
    </w:p>
    <w:p>
      <w:pPr>
        <w:pStyle w:val="Heading2"/>
        <w:keepNext/>
      </w:pPr>
      <w:r>
        <w:rPr>
          <w:color w:val="B78224"/>
        </w:rPr>
        <w:t>01  未依法预告离职、拒绝交接所涉单位损失赔偿风险  ·  需关注</w:t>
      </w:r>
    </w:p>
    <w:p>
      <w:pPr>
        <w:keepNext/>
        <w:shd w:fill="F3F6F5"/>
      </w:pPr>
      <w:r>
        <w:rPr>
          <w:b/>
        </w:rPr>
        <w:t xml:space="preserve">材料原文  </w:t>
      </w:r>
      <w:r>
        <w:t>补充公开事实：公司启动备用方案、招聘人员并委托设计补救研发项目；研发设计进度延误，迟延交付样机，公司承担了违约责任。</w:t>
      </w:r>
    </w:p>
    <w:p>
      <w:pPr>
        <w:keepNext/>
      </w:pPr>
      <w:r>
        <w:rPr>
          <w:b/>
        </w:rPr>
        <w:t xml:space="preserve">原文位置  </w:t>
      </w:r>
      <w:r>
        <w:rPr>
          <w:color w:val="71847D"/>
        </w:rPr>
        <w:t>用户补充说明</w:t>
      </w:r>
    </w:p>
    <w:p>
      <w:pPr>
        <w:keepNext/>
      </w:pPr>
      <w:r>
        <w:rPr>
          <w:b/>
        </w:rPr>
        <w:t xml:space="preserve">风险说明  </w:t>
      </w:r>
      <w:r>
        <w:t>材料显示员工2020年12月1日入职研发岗位、合同期三年，2022年2月15日提出辞职后随即离开且拒不办理工作交接；补充事实已确认员工未提前三十日通知即自行离职，此时仍处正式期。依劳动合同法第三十七条，正式期劳动者解除劳动合同应提前三十日以书面形式通知用人单位；依劳动合同法第九十条，劳动者违反本法规定解除劳动合同给用人单位造成损失的，应当承担赔偿责任；劳动法第一百零二条亦作同向规定。合同约定离职应办理工作交接、交还工具与技术资料、造成损失据实赔偿，依劳动合同法第五十条第二款劳动者应当按照双方约定办理工作交接。</w:t>
      </w:r>
      <w:r>
        <w:br/>
      </w:r>
      <w:r/>
      <w:r>
        <w:br/>
      </w:r>
      <w:r>
        <w:t>本次补充的“启动备用方案、招聘人员、委托设计补救、研发进度延误、样机迟延交付、单位承担违约责任”属于单位侧实际支出与损失的具体线索，使该风险从单纯行为异常转向有损害事实支撑。但第九十条赔偿仍以损失真实存在、与员工违法行为之间具有因果关系、且数额可证明为前提：备用方案与补救设计是否因员工离职直接触发、招聘与委托费用是否为必要且合理、样机迟延违约金能否全部归因于员工，均需结合时间线与证据判断，故不宜预设赔偿数额。</w:t>
      </w:r>
      <w:r>
        <w:br/>
      </w:r>
      <w:r/>
      <w:r>
        <w:br/>
      </w:r>
      <w:r>
        <w:t>该风险为合并项：未依法预告解除与拒绝交接围绕同一离职事件及同一赔偿主张，不重复计为两项；保密/竞业限制约定及遵守情况仍未披露，仅在limitations中作为核查事项，不据此单列违约风险。</w:t>
      </w:r>
    </w:p>
    <w:p>
      <w:pPr>
        <w:keepNext/>
      </w:pPr>
      <w:r>
        <w:rPr>
          <w:b/>
        </w:rPr>
        <w:t xml:space="preserve">分析依据  </w:t>
      </w:r>
      <w:r>
        <w:t>LCL-037 · 中华人民共和国劳动合同法 · 第三十七条</w:t>
      </w:r>
    </w:p>
    <w:p>
      <w:pPr>
        <w:keepNext/>
      </w:pPr>
      <w:r>
        <w:rPr>
          <w:b/>
        </w:rPr>
        <w:t xml:space="preserve">分析依据  </w:t>
      </w:r>
      <w:r>
        <w:t>LCL-090 · 中华人民共和国劳动合同法 · 第九十条</w:t>
      </w:r>
    </w:p>
    <w:p>
      <w:pPr>
        <w:keepNext/>
      </w:pPr>
      <w:r>
        <w:rPr>
          <w:b/>
        </w:rPr>
        <w:t xml:space="preserve">分析依据  </w:t>
      </w:r>
      <w:r>
        <w:t>LL-2018-102 · 中华人民共和国劳动法 · 第一百零二条</w:t>
      </w:r>
    </w:p>
    <w:p>
      <w:pPr>
        <w:keepNext/>
      </w:pPr>
      <w:r>
        <w:rPr>
          <w:b/>
        </w:rPr>
        <w:t xml:space="preserve">分析依据  </w:t>
      </w:r>
      <w:r>
        <w:t>LCL-050 · 中华人民共和国劳动合同法 · 第五十条</w:t>
      </w:r>
    </w:p>
    <w:p>
      <w:pPr>
        <w:keepNext/>
      </w:pPr>
      <w:r>
        <w:rPr>
          <w:color w:val="287B65"/>
        </w:rPr>
        <w:t>建议行动</w:t>
      </w:r>
    </w:p>
    <w:p>
      <w:pPr>
        <w:pStyle w:val="ListBullet"/>
        <w:keepNext/>
      </w:pPr>
      <w:r>
        <w:t>调取并整理时间线：辞职提出与送达方式、最后到岗日、备用方案启动时间、招聘与委托设计协议的签订与付款时间、样机原定与迟延交付时间、单位承担违约责任的时间与金额。</w:t>
      </w:r>
    </w:p>
    <w:p>
      <w:pPr>
        <w:pStyle w:val="ListBullet"/>
        <w:keepNext/>
      </w:pPr>
      <w:r>
        <w:t>单位侧需固定损失证据：招聘费用票据、委托设计合同及付款凭证、违约金支付凭证、因迟延产生的其他直接支出，并说明其与员工未预告离职之间的因果关系。</w:t>
      </w:r>
    </w:p>
    <w:p>
      <w:pPr>
        <w:pStyle w:val="ListBullet"/>
        <w:keepNext/>
      </w:pPr>
      <w:r>
        <w:t>核实员工实际持有并未交还的工具、技术资料、账号权限及载体清单，评估返还可量化价值；仅“未交接”本身不足以直接推定赔偿数额。</w:t>
      </w:r>
    </w:p>
    <w:p>
      <w:pPr>
        <w:pStyle w:val="ListBullet"/>
        <w:keepNext/>
      </w:pPr>
      <w:r>
        <w:t>核实辞职是书面还是口头、送达时间与方式、有无批准或双方另有即时解除协商安排。</w:t>
      </w:r>
    </w:p>
    <w:p>
      <w:pPr>
        <w:pStyle w:val="ListBullet"/>
        <w:keepNext/>
      </w:pPr>
      <w:r>
        <w:t>单位不得以未交接为由扣留档案、拒绝出具离职证明或扣发已发生的工资；此类义务另有直接规定，如有实际扣押或扣发可另行核查。</w:t>
      </w:r>
    </w:p>
    <w:p>
      <w:pPr>
        <w:pStyle w:val="ListBullet"/>
        <w:keepNext/>
      </w:pPr>
      <w:r>
        <w:t>保存证据以备程序使用：聊天记录、邮件、交接催告、书面通知及送达回执。</w:t>
      </w:r>
    </w:p>
    <w:p>
      <w:pPr>
        <w:pStyle w:val="ListBullet"/>
        <w:keepNext w:val="0"/>
      </w:pPr>
      <w:r>
        <w:t>若已进入或拟进入仲裁，核实当年申请日期与处理结果，以判断救济路径与时效状态。</w:t>
      </w:r>
    </w:p>
    <w:p>
      <w:pPr>
        <w:pStyle w:val="Heading1"/>
      </w:pPr>
      <w:r>
        <w:t>03  待核实事项与分析局限</w:t>
      </w:r>
    </w:p>
    <w:p>
      <w:pPr>
        <w:pStyle w:val="ListBullet"/>
      </w:pPr>
      <w:r>
        <w:t>材料为“公开摘录（非原件）”，未见完整合同条款，条款效力与约定细节无法确认；摘录与原件的差异可能影响结论。</w:t>
      </w:r>
    </w:p>
    <w:p>
      <w:pPr>
        <w:pStyle w:val="ListBullet"/>
      </w:pPr>
      <w:r>
        <w:t>未提供实际损失数额与任何支付凭证：招聘费用、委托设计费用、违约金实际支出金额及其会计记录均缺失，故不能计算或预设赔偿数额。</w:t>
      </w:r>
    </w:p>
    <w:p>
      <w:pPr>
        <w:pStyle w:val="ListBullet"/>
      </w:pPr>
      <w:r>
        <w:t>未提供样机原定交付时间、延误天数、与员工离职的时间先后对照，以及违约责任条款，损失与违法解除之间的因果关系尚待证明。</w:t>
      </w:r>
    </w:p>
    <w:p>
      <w:pPr>
        <w:pStyle w:val="ListBullet"/>
      </w:pPr>
      <w:r>
        <w:t>未提供劳动合同完整原件、员工辞职通知的形式与送达证据，是否另有即时解除协商不明。</w:t>
      </w:r>
    </w:p>
    <w:p>
      <w:pPr>
        <w:pStyle w:val="ListBullet"/>
      </w:pPr>
      <w:r>
        <w:t>未提供合同是否含保密、竞业限制、培训服务期、违约金等条款的信息；且未说明员工实际接触的技术秘密范围，保密或竞业违约风险无法评估，现阶段不作独立风险认定。</w:t>
      </w:r>
    </w:p>
    <w:p>
      <w:pPr>
        <w:pStyle w:val="ListBullet"/>
      </w:pPr>
      <w:r>
        <w:t>未说明单位是否出具离职证明、办理档案和社保转移，以及是否存在扣发工资、扣押证件等实际侵害事实，故不单独列出。</w:t>
      </w:r>
    </w:p>
    <w:p>
      <w:pPr>
        <w:pStyle w:val="ListBullet"/>
      </w:pPr>
      <w:r>
        <w:t>未提供2022年争议是否曾申请仲裁、申请日期及处理结果，无法判断时效与救济状态；本报告不作时效认定。</w:t>
      </w:r>
    </w:p>
    <w:p>
      <w:pPr>
        <w:pStyle w:val="ListBullet"/>
      </w:pPr>
      <w:r>
        <w:t>本报告基于2022年前后有效规则分析，仅为风险信号与核查方向，不构成法律意见，也不能替代仲裁或法院认定，不保证任何请求获支持。</w:t>
      </w:r>
    </w:p>
    <w:p>
      <w:pPr>
        <w:pStyle w:val="ListBullet"/>
      </w:pPr>
      <w:r>
        <w:t>本报告未对用人单位责任单列风险：现有事实仅显示单位为损失的承受方与潜在主张方，未见单位存在违法行为的材料。</w:t>
      </w:r>
    </w:p>
    <w:p>
      <w:pPr>
        <w:pStyle w:val="ListBullet"/>
      </w:pPr>
      <w:r>
        <w:t>摘录未显示违法解除、试用期超限等事实，故不列出相关风险。</w:t>
      </w:r>
    </w:p>
    <w:p>
      <w:pPr>
        <w:pStyle w:val="Heading1"/>
      </w:pPr>
      <w:r>
        <w:t>04  依据与来源</w:t>
      </w:r>
    </w:p>
    <w:p>
      <w:r>
        <w:rPr>
          <w:color w:val="71847D"/>
        </w:rPr>
        <w:t>法条、风险提示、指南及案例分别标注；案例结论只用于个案参考。</w:t>
      </w:r>
    </w:p>
    <w:p>
      <w:pPr>
        <w:pStyle w:val="Heading2"/>
        <w:keepNext/>
      </w:pPr>
      <w:r>
        <w:t>LCL-037  中华人民共和国劳动合同法</w:t>
      </w:r>
    </w:p>
    <w:p>
      <w:pPr>
        <w:keepNext/>
        <w:spacing w:line="288" w:lineRule="auto" w:after="80"/>
      </w:pPr>
      <w:r>
        <w:rPr>
          <w:color w:val="71847D"/>
          <w:sz w:val="19"/>
        </w:rPr>
        <w:t>法律条文 · 第三十七条</w:t>
      </w:r>
    </w:p>
    <w:p>
      <w:pPr>
        <w:keepNext/>
        <w:spacing w:line="288" w:lineRule="auto" w:after="80"/>
      </w:pPr>
      <w:r>
        <w:rPr>
          <w:sz w:val="19"/>
        </w:rPr>
        <w:t>第三十七条　劳动者提前三十日以书面形式通知用人单位，可以解除劳动合同。劳动者在试用期内提前三日通知用人单位，可以解除劳动合同。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LCL-090  中华人民共和国劳动合同法</w:t>
      </w:r>
    </w:p>
    <w:p>
      <w:pPr>
        <w:keepNext/>
        <w:spacing w:line="288" w:lineRule="auto" w:after="80"/>
      </w:pPr>
      <w:r>
        <w:rPr>
          <w:color w:val="71847D"/>
          <w:sz w:val="19"/>
        </w:rPr>
        <w:t>法律条文 · 第九十条</w:t>
      </w:r>
    </w:p>
    <w:p>
      <w:pPr>
        <w:keepNext/>
        <w:spacing w:line="288" w:lineRule="auto" w:after="80"/>
      </w:pPr>
      <w:r>
        <w:rPr>
          <w:sz w:val="19"/>
        </w:rPr>
        <w:t>第九十条　劳动者违反本法规定解除劳动合同，或者违反劳动合同中约定的保密义务或者竞业限制，给用人单位造成损失的，应当承担赔偿责任。</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LL-2018-102  中华人民共和国劳动法</w:t>
      </w:r>
    </w:p>
    <w:p>
      <w:pPr>
        <w:keepNext/>
        <w:spacing w:line="288" w:lineRule="auto" w:after="80"/>
      </w:pPr>
      <w:r>
        <w:rPr>
          <w:color w:val="71847D"/>
          <w:sz w:val="19"/>
        </w:rPr>
        <w:t>法律条文 · 第一百零二条</w:t>
      </w:r>
    </w:p>
    <w:p>
      <w:pPr>
        <w:keepNext/>
        <w:spacing w:line="288" w:lineRule="auto" w:after="80"/>
      </w:pPr>
      <w:r>
        <w:rPr>
          <w:sz w:val="19"/>
        </w:rPr>
        <w:t>第一百零二条</w:t>
      </w:r>
      <w:r>
        <w:rPr>
          <w:sz w:val="19"/>
        </w:rPr>
        <w:br/>
      </w:r>
      <w:r>
        <w:rPr>
          <w:sz w:val="19"/>
        </w:rPr>
        <w:t>劳动者违反本法规定的条件解除劳动合同或者违反劳动合同中约定的保密事项，对用人单位造成经济损失的，应当依法承担赔偿责任。</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LCL-050  中华人民共和国劳动合同法</w:t>
      </w:r>
    </w:p>
    <w:p>
      <w:pPr>
        <w:keepNext/>
        <w:spacing w:line="288" w:lineRule="auto" w:after="80"/>
      </w:pPr>
      <w:r>
        <w:rPr>
          <w:color w:val="71847D"/>
          <w:sz w:val="19"/>
        </w:rPr>
        <w:t>法律条文 · 第五十条</w:t>
      </w:r>
    </w:p>
    <w:p>
      <w:pPr>
        <w:keepNext/>
        <w:spacing w:line="288" w:lineRule="auto" w:after="80"/>
      </w:pPr>
      <w:r>
        <w:rPr>
          <w:sz w:val="19"/>
        </w:rPr>
        <w:t>第五十条　用人单位应当在解除或者终止劳动合同时出具解除或者终止劳动合同的证明，并在十五日内为劳动者办理档案和社会保险关系转移手续。</w:t>
      </w:r>
      <w:r>
        <w:rPr>
          <w:sz w:val="19"/>
        </w:rPr>
        <w:br/>
      </w:r>
      <w:r>
        <w:rPr>
          <w:sz w:val="19"/>
        </w:rPr>
        <w:t>劳动者应当按照双方约定，办理工作交接。用人单位依照本法有关规定应当向劳动者支付经济补偿的，在办结工作交接时支付。</w:t>
      </w:r>
      <w:r>
        <w:rPr>
          <w:sz w:val="19"/>
        </w:rPr>
        <w:br/>
      </w:r>
      <w:r>
        <w:rPr>
          <w:sz w:val="19"/>
        </w:rPr>
        <w:t>用人单位对已经解除或者终止的劳动合同的文本，至少保存二年备查。</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