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真实案例-三天工资异议期</w:t>
      </w:r>
    </w:p>
    <w:p>
      <w:r>
        <w:rPr>
          <w:color w:val="71847D"/>
        </w:rPr>
        <w:t>第 1 版  |  生成时间：2026-10-06 21:27</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异常条款为“收款或银行进账后三日内不书面异议即视为本月各项劳动报酬已结清且无异议”，可能限制事后工资主张；但该条效力、解释范围及是否可撤销须由仲裁或法院综合判断。绩效奖金差额、解除合法性及仲裁时效受材料缺口影响，均无法评价，不保证获赔。</w:t>
      </w:r>
    </w:p>
    <w:p>
      <w:r>
        <w:rPr>
          <w:b/>
        </w:rPr>
        <w:t xml:space="preserve">概览依据：  </w:t>
      </w:r>
      <w:r>
        <w:rPr>
          <w:color w:val="71847D"/>
        </w:rPr>
        <w:t>LCL-026、LAB-J1-035、LCL-030、LL-2018-050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“三日内不书面异议即视为劳动报酬已结清且无异议”条款可能压缩事后工资主张空间</w:t>
            </w:r>
          </w:p>
        </w:tc>
        <w:tc>
          <w:tcPr>
            <w:tcW w:type="dxa" w:w="5443"/>
          </w:tcPr>
          <w:p>
            <w:pPr>
              <w:spacing w:line="288" w:lineRule="auto" w:after="140" w:before="140"/>
            </w:pPr>
            <w:r>
              <w:rPr>
                <w:sz w:val="19"/>
              </w:rPr>
              <w:t>保存劳动合同、条款原文、工资条、银行流水、绩效方案与考核结果，比对每笔到账与工资构成</w:t>
            </w:r>
          </w:p>
        </w:tc>
      </w:tr>
    </w:tbl>
    <w:p>
      <w:pPr>
        <w:pStyle w:val="Heading1"/>
      </w:pPr>
      <w:r>
        <w:t>02  风险详情</w:t>
      </w:r>
    </w:p>
    <w:p>
      <w:pPr>
        <w:pStyle w:val="Heading2"/>
        <w:keepNext/>
      </w:pPr>
      <w:r>
        <w:rPr>
          <w:color w:val="B78224"/>
        </w:rPr>
        <w:t>01  “三日内不书面异议即视为劳动报酬已结清且无异议”条款可能压缩事后工资主张空间  ·  需关注</w:t>
      </w:r>
    </w:p>
    <w:p>
      <w:pPr>
        <w:keepNext/>
        <w:shd w:fill="F3F6F5"/>
      </w:pPr>
      <w:r>
        <w:rPr>
          <w:b/>
        </w:rPr>
        <w:t xml:space="preserve">材料原文  </w:t>
      </w:r>
      <w:r>
        <w:t>合同约定：收款或银行进账后三日内应书面提出工资异议，否则视为本月各项劳动</w:t>
      </w:r>
      <w:r>
        <w:br/>
      </w:r>
      <w:r>
        <w:t>报酬已结清且无异议。</w:t>
      </w:r>
    </w:p>
    <w:p>
      <w:pPr>
        <w:keepNext/>
      </w:pPr>
      <w:r>
        <w:rPr>
          <w:b/>
        </w:rPr>
        <w:t xml:space="preserve">原文位置  </w:t>
      </w:r>
      <w:r>
        <w:rPr>
          <w:color w:val="71847D"/>
        </w:rPr>
        <w:t>salary-objection-初始摘录.pdf · 第1页</w:t>
      </w:r>
    </w:p>
    <w:p>
      <w:pPr>
        <w:keepNext/>
      </w:pPr>
      <w:r>
        <w:rPr>
          <w:b/>
        </w:rPr>
        <w:t xml:space="preserve">风险说明  </w:t>
      </w:r>
      <w:r>
        <w:t>该条以劳动者未在收款或进账后三日内书面异议为由，推定当月各项劳动报酬已结清且无异议，属于单位通过沉默推定结清的约定，可能压缩你事后主张2022年12月绩效奖金差额的空间。若被认定用人单位免除自己法定责任、排除劳动者权利，依劳动合同法第二十六条可被确认无效或部分无效，但无效须由劳动争议仲裁机构或人民法院确认。若该条被解释为就工资报酬达成的协议安排，司法解释一第三十五条要求先解释其涵盖范围（是否包含绩效奖金、是否只针对当月），不违反强制性规定且无欺诈、胁迫、乘人之危的应认定有效；如存在重大误解或显失公平，属请求撤销事由，而非劳动合同法第二十六条的无效事由。此外，用人单位依劳动合同法第三十条、劳动法第五十条负有及时足额支付劳动报酬的法定义务，该条款不能改变该法定义务。因此该条最终是被排除、被解释为不及于绩效奖金、还是被撤销，取决于条款文本、你签收时是否知悉、是否实际提出异议等事实，需由仲裁或法院综合判断。</w:t>
      </w:r>
    </w:p>
    <w:p>
      <w:pPr>
        <w:keepNext/>
      </w:pPr>
      <w:r>
        <w:rPr>
          <w:b/>
        </w:rPr>
        <w:t xml:space="preserve">分析依据  </w:t>
      </w:r>
      <w:r>
        <w:t>LCL-026 · 中华人民共和国劳动合同法 · 第二十六条</w:t>
      </w:r>
    </w:p>
    <w:p>
      <w:pPr>
        <w:keepNext/>
      </w:pPr>
      <w:r>
        <w:rPr>
          <w:b/>
        </w:rPr>
        <w:t xml:space="preserve">分析依据  </w:t>
      </w:r>
      <w:r>
        <w:t>LAB-J1-035 · 最高人民法院关于审理劳动争议案件适用法律问题的解释（一）第三十五条 · 第三十五条</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color w:val="287B65"/>
        </w:rPr>
        <w:t>建议行动</w:t>
      </w:r>
    </w:p>
    <w:p>
      <w:pPr>
        <w:pStyle w:val="ListBullet"/>
        <w:keepNext/>
      </w:pPr>
      <w:r>
        <w:t>保存劳动合同、条款原文、工资条、银行流水、绩效方案与考核结果，比对每笔到账与工资构成</w:t>
      </w:r>
    </w:p>
    <w:p>
      <w:pPr>
        <w:pStyle w:val="ListBullet"/>
        <w:keepNext/>
      </w:pPr>
      <w:r>
        <w:t>检索并固定你曾就该月绩效奖金或工资提出异议的记录（微信、邮件、书面函件），异议是否在三天内只是事实之一，不是决定效力的唯一标准</w:t>
      </w:r>
    </w:p>
    <w:p>
      <w:pPr>
        <w:pStyle w:val="ListBullet"/>
        <w:keepNext w:val="0"/>
      </w:pPr>
      <w:r>
        <w:t>如进入仲裁，可就该条款主张无效或解释上不及于绩效奖金，并视情形主张重大误解、显失公平请求撤销，注意两项主张依据和构成要件不同</w:t>
      </w:r>
    </w:p>
    <w:p>
      <w:pPr>
        <w:pStyle w:val="Heading1"/>
      </w:pPr>
      <w:r>
        <w:t>03  待核实事项与分析局限</w:t>
      </w:r>
    </w:p>
    <w:p>
      <w:pPr>
        <w:pStyle w:val="ListBullet"/>
      </w:pPr>
      <w:r>
        <w:t>材料仅为劳动合同公开条款摘录，非原件，且抽取校验标记为未完成核验（extraction_verified=false），条款完整性与文字准确性待核验。</w:t>
      </w:r>
    </w:p>
    <w:p>
      <w:pPr>
        <w:pStyle w:val="ListBullet"/>
      </w:pPr>
      <w:r>
        <w:t>未提供2022年12月绩效考核方案、考核过程、考核结果、工资条、银行流水，是否实际少发及差额金额均未知，绩效奖金差额主张能否支持无法判断。</w:t>
      </w:r>
    </w:p>
    <w:p>
      <w:pPr>
        <w:pStyle w:val="ListBullet"/>
      </w:pPr>
      <w:r>
        <w:t>未说明2023年2月22日解除的原因、主体与形式（谁提出、是否有书面通知），解除是否合法无法评价，本次不作违法解除或经济补偿的分析。</w:t>
      </w:r>
    </w:p>
    <w:p>
      <w:pPr>
        <w:pStyle w:val="ListBullet"/>
      </w:pPr>
      <w:r>
        <w:t>未提供当年是否已申请仲裁、是否向单位或有关部门主张权利、有无对方同意履行等日期信息，时效起算与中断只能核查，不能据此认定已过时效。</w:t>
      </w:r>
    </w:p>
    <w:p>
      <w:pPr>
        <w:pStyle w:val="ListBullet"/>
      </w:pPr>
      <w:r>
        <w:t>“三日内书面异议”条款的效力、解释范围及是否被撤销，须由劳动争议仲裁机构或人民法院结合全案事实认定；本报告不是裁判，不保证胜诉或获赔。</w:t>
      </w:r>
    </w:p>
    <w:p>
      <w:pPr>
        <w:pStyle w:val="ListBullet"/>
      </w:pPr>
      <w:r>
        <w:t>绩效奖金约定为经考核后发放，其金额取决于考核标准、考核过程、考核结果及实际发放记录，这些材料通常由用人单位掌握，举证困难会直接影响差额主张能否被支持；需向单位书面要求提供该月工资构成及考核依据，无法取得时可申请仲裁并请求调取由单位掌握的证据。</w:t>
      </w:r>
    </w:p>
    <w:p>
      <w:pPr>
        <w:pStyle w:val="ListBullet"/>
      </w:pPr>
      <w:r>
        <w:t>劳动关系终止后因拖欠劳动报酬申请仲裁，应在劳动关系终止之日起一年内提出（劳动争议调解仲裁法第二十七条）；本案2023年2月22日解除，时效是否已过须结合你当时是否及时主张权利的事实核查，材料未提供相关日期，不能直接认定已过时效。</w:t>
      </w:r>
    </w:p>
    <w:p>
      <w:pPr>
        <w:pStyle w:val="ListBullet"/>
      </w:pPr>
      <w:r>
        <w:t>若确属克扣或无故拖欠工资，劳动法第九十一条规定劳动行政部门可责令支付工资报酬并可以责令支付赔偿金，但这是行政处理路径，不替个案判断结果。</w:t>
      </w:r>
    </w:p>
    <w:p>
      <w:pPr>
        <w:pStyle w:val="Heading1"/>
      </w:pPr>
      <w:r>
        <w:t>04  依据与来源</w:t>
      </w:r>
    </w:p>
    <w:p>
      <w:r>
        <w:rPr>
          <w:color w:val="71847D"/>
        </w:rPr>
        <w:t>法条、风险提示、指南及案例分别标注；案例结论只用于个案参考。</w:t>
      </w:r>
    </w:p>
    <w:p>
      <w:pPr>
        <w:pStyle w:val="Heading2"/>
        <w:keepNext/>
      </w:pPr>
      <w:r>
        <w:t>LCL-026  中华人民共和国劳动合同法</w:t>
      </w:r>
    </w:p>
    <w:p>
      <w:pPr>
        <w:keepNext/>
        <w:spacing w:line="288" w:lineRule="auto" w:after="80"/>
      </w:pPr>
      <w:r>
        <w:rPr>
          <w:color w:val="71847D"/>
          <w:sz w:val="19"/>
        </w:rPr>
        <w:t>法律条文 · 第二十六条</w:t>
      </w:r>
    </w:p>
    <w:p>
      <w:pPr>
        <w:keepNext/>
        <w:spacing w:line="288" w:lineRule="auto" w:after="80"/>
      </w:pPr>
      <w:r>
        <w:rPr>
          <w:sz w:val="19"/>
        </w:rPr>
        <w:t>第二十六条　下列劳动合同无效或者部分无效：</w:t>
      </w:r>
      <w:r>
        <w:rPr>
          <w:sz w:val="19"/>
        </w:rPr>
        <w:br/>
      </w:r>
      <w:r>
        <w:rPr>
          <w:sz w:val="19"/>
        </w:rPr>
        <w:t>（一）以欺诈、胁迫的手段或者乘人之危，使对方在违背真实意思的情况下订立或者变更劳动合同的；</w:t>
      </w:r>
      <w:r>
        <w:rPr>
          <w:sz w:val="19"/>
        </w:rPr>
        <w:br/>
      </w:r>
      <w:r>
        <w:rPr>
          <w:sz w:val="19"/>
        </w:rPr>
        <w:t>（二）用人单位免除自己的法定责任、排除劳动者权利的；</w:t>
      </w:r>
      <w:r>
        <w:rPr>
          <w:sz w:val="19"/>
        </w:rPr>
        <w:br/>
      </w:r>
      <w:r>
        <w:rPr>
          <w:sz w:val="19"/>
        </w:rPr>
        <w:t>（三）违反法律、行政法规强制性规定的。</w:t>
      </w:r>
      <w:r>
        <w:rPr>
          <w:sz w:val="19"/>
        </w:rPr>
        <w:br/>
      </w:r>
      <w:r>
        <w:rPr>
          <w:sz w:val="19"/>
        </w:rPr>
        <w:t>对劳动合同的无效或者部分无效有争议的，由劳动争议仲裁机构或者人民法院确认。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LAB-J1-035  最高人民法院关于审理劳动争议案件适用法律问题的解释（一）第三十五条</w:t>
      </w:r>
    </w:p>
    <w:p>
      <w:pPr>
        <w:keepNext/>
        <w:spacing w:line="288" w:lineRule="auto" w:after="80"/>
      </w:pPr>
      <w:r>
        <w:rPr>
          <w:color w:val="71847D"/>
          <w:sz w:val="19"/>
        </w:rPr>
        <w:t>法律条文 · 第三十五条</w:t>
      </w:r>
    </w:p>
    <w:p>
      <w:pPr>
        <w:keepNext/>
        <w:spacing w:line="288" w:lineRule="auto" w:after="80"/>
      </w:pPr>
      <w:r>
        <w:rPr>
          <w:sz w:val="19"/>
        </w:rPr>
        <w:t>第三十五条　劳动者与用人单位就解除或者终止劳动合同办理相关手续、支付工资报酬、加班费、经济补偿或者赔偿金等达成的协议，不违反法律、行政法规的强制性规定，且不存在欺诈、胁迫或者乘人之危情形的，应当认定有效。</w:t>
      </w:r>
      <w:r>
        <w:rPr>
          <w:sz w:val="19"/>
        </w:rPr>
        <w:br/>
      </w:r>
      <w:r>
        <w:rPr>
          <w:sz w:val="19"/>
        </w:rPr>
        <w:t>前款协议存在重大误解或者显失公平情形，当事人请求撤销的，人民法院应予支持。</w:t>
      </w:r>
    </w:p>
    <w:p>
      <w:pPr>
        <w:keepNext/>
        <w:spacing w:line="288" w:lineRule="auto" w:after="80"/>
      </w:pPr>
      <w:r>
        <w:rPr>
          <w:b/>
          <w:sz w:val="19"/>
        </w:rPr>
        <w:t xml:space="preserve">适用边界  </w:t>
      </w:r>
      <w:r>
        <w:rPr>
          <w:sz w:val="19"/>
        </w:rPr>
        <w:t>结清声明先解释约定范围；重大误解、显失公平是请求撤销事由，不混同无效。</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https://www.court.gov.cn/fabu/xiangqing/282121.html</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https://rsj.weihai.gov.cn/art/2018/12/31/art_79306_2674768.html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https://www.beijing.gov.cn/zhengce/zhengcefagui/qtwj/201912/t20191219_1307906.html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fabu/xiangqing/282121.html" TargetMode="External"/><Relationship Id="rId15" Type="http://schemas.openxmlformats.org/officeDocument/2006/relationships/hyperlink" Target="https://rsj.weihai.gov.cn/art/2018/12/31/art_79306_2674768.html" TargetMode="External"/><Relationship Id="rId16" Type="http://schemas.openxmlformats.org/officeDocument/2006/relationships/hyperlink" Target="https://www.beijing.gov.cn/zhengce/zhengcefagui/qtwj/201912/t20191219_13079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