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真实案例-三天工资异议期</w:t>
      </w:r>
    </w:p>
    <w:p>
      <w:r>
        <w:rPr>
          <w:color w:val="71847D"/>
        </w:rPr>
        <w:t>第 2 版  |  生成时间：2026-10-06 21:27</w:t>
      </w:r>
    </w:p>
    <w:p>
      <w:r>
        <w:rPr>
          <w:color w:val="71847D"/>
        </w:rPr>
        <w:t>本报告依据已提供材料进行风险提示；风险等级不是违法认定或风险概率。</w:t>
      </w:r>
    </w:p>
    <w:p>
      <w:pPr>
        <w:pStyle w:val="Heading1"/>
      </w:pPr>
      <w:r>
        <w:t>01  结论与风险概览</w:t>
      </w:r>
    </w:p>
    <w:p>
      <w:pPr>
        <w:shd w:fill="EDF6F1"/>
      </w:pPr>
      <w:r>
        <w:t>已根据补充事实更新：公司主张2022年12月绩效考核未达标但未举证，并援引“三日内不书面异议即视为劳动报酬已结清”条款拒付绩效奖金差额。该条款能否排除工资请求权、公司抗辩是否成立，须结合条款文本、异议记录、考核事实及举证情况由仲裁或法院综合判断，本报告不作胜诉承诺。</w:t>
      </w:r>
    </w:p>
    <w:p>
      <w:r>
        <w:rPr>
          <w:b/>
        </w:rPr>
        <w:t xml:space="preserve">概览依据：  </w:t>
      </w:r>
      <w:r>
        <w:rPr>
          <w:color w:val="71847D"/>
        </w:rPr>
        <w:t>LCL-026、LAB-J1-035、LCL-030、LL-2018-050、C005-reasoning</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“三日内不书面异议即视为劳动报酬已结清且无异议”条款可能限制你事后主张工资，但不能自动排除工资请求权</w:t>
            </w:r>
          </w:p>
        </w:tc>
        <w:tc>
          <w:tcPr>
            <w:tcW w:type="dxa" w:w="5443"/>
          </w:tcPr>
          <w:p>
            <w:pPr>
              <w:spacing w:line="288" w:lineRule="auto" w:after="140" w:before="140"/>
            </w:pPr>
            <w:r>
              <w:rPr>
                <w:sz w:val="19"/>
              </w:rPr>
              <w:t>保存劳动合同、该条款原文及签署页、工资条、银行流水、绩效方案与考核结果，比对每笔到账金额与工资构成</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公司主张绩效考核未达标却未举证，其拒付绩效奖金差额的抗辩缺乏证据支撑</w:t>
            </w:r>
          </w:p>
        </w:tc>
        <w:tc>
          <w:tcPr>
            <w:tcW w:type="dxa" w:w="5443"/>
          </w:tcPr>
          <w:p>
            <w:pPr>
              <w:spacing w:line="288" w:lineRule="auto" w:after="140" w:before="140"/>
            </w:pPr>
            <w:r>
              <w:rPr>
                <w:sz w:val="19"/>
              </w:rPr>
              <w:t>向单位书面要求提供2022年12月绩效方案、考核标准、考核过程记录、考核结果及其向你送达的证据</w:t>
            </w:r>
          </w:p>
        </w:tc>
      </w:tr>
    </w:tbl>
    <w:p>
      <w:r>
        <w:rPr>
          <w:b/>
        </w:rPr>
        <w:t xml:space="preserve">本版修改  </w:t>
      </w:r>
      <w:r>
        <w:t>补充事实：公司主张2022年12月绩效考核未达标但未举证，并以发薪后三日内未书面异议应视为认可为由拒付绩效奖金差额。据此将原“三日异议条款”风险升级为high并明确其不能自动排除工资请求权；新增公司未就考核不达标举证的抗辩薄弱风险；时效、解除合法性等仍列为限制。</w:t>
      </w:r>
    </w:p>
    <w:p>
      <w:pPr>
        <w:pStyle w:val="Heading1"/>
      </w:pPr>
      <w:r>
        <w:t>02  风险详情</w:t>
      </w:r>
    </w:p>
    <w:p>
      <w:pPr>
        <w:pStyle w:val="Heading2"/>
        <w:keepNext/>
      </w:pPr>
      <w:r>
        <w:rPr>
          <w:color w:val="B85646"/>
        </w:rPr>
        <w:t>01  “三日内不书面异议即视为劳动报酬已结清且无异议”条款可能限制你事后主张工资，但不能自动排除工资请求权  ·  高风险</w:t>
      </w:r>
    </w:p>
    <w:p>
      <w:pPr>
        <w:keepNext/>
        <w:shd w:fill="F3F6F5"/>
      </w:pPr>
      <w:r>
        <w:rPr>
          <w:b/>
        </w:rPr>
        <w:t xml:space="preserve">材料原文  </w:t>
      </w:r>
      <w:r>
        <w:t>合同约定：收款或银行进账后三日内应书面提出工资异议，否则视为本月各项劳动</w:t>
      </w:r>
      <w:r>
        <w:br/>
      </w:r>
      <w:r>
        <w:t>报酬已结清且无异议。</w:t>
      </w:r>
    </w:p>
    <w:p>
      <w:pPr>
        <w:keepNext/>
      </w:pPr>
      <w:r>
        <w:rPr>
          <w:b/>
        </w:rPr>
        <w:t xml:space="preserve">原文位置  </w:t>
      </w:r>
      <w:r>
        <w:rPr>
          <w:color w:val="71847D"/>
        </w:rPr>
        <w:t>salary-objection-初始摘录.pdf · 第1页</w:t>
      </w:r>
    </w:p>
    <w:p>
      <w:pPr>
        <w:keepNext/>
      </w:pPr>
      <w:r>
        <w:rPr>
          <w:b/>
        </w:rPr>
        <w:t xml:space="preserve">风险说明  </w:t>
      </w:r>
      <w:r>
        <w:t>该条以你未在收款或银行进账后三日内书面异议为由，推定当月各项劳动报酬已结清且无异议，公司据此主张无需支付2022年12月绩效奖金差额。用人单位依劳动合同法第三十条、劳动法第五十条负有及时足额支付劳动报酬的法定义务。该约定不能仅凭单方沉默推定自动消灭工资请求权：若被认定用人单位免除自己法定责任、排除劳动者权利，依劳动合同法第二十六条可被确认无效或部分无效，但须由劳动争议仲裁机构或人民法院确认。若该条被解释为就工资报酬达成的协议安排，则依司法解释一第三十五条，先解释其涵盖范围（是否包含绩效奖金、是否只针对当月），不违反强制性规定且无欺诈、胁迫、乘人之危的应认定有效；存在重大误解或显失公平的，属请求撤销事由，而非劳动合同法第二十六条的无效事由。因此该条能否排除你的工资请求权，取决于条款文本、是否覆盖绩效奖金、你签收时是否知悉、是否实际提出异议等事实，需由仲裁或法院综合判断。</w:t>
      </w:r>
    </w:p>
    <w:p>
      <w:pPr>
        <w:keepNext/>
      </w:pPr>
      <w:r>
        <w:rPr>
          <w:b/>
        </w:rPr>
        <w:t xml:space="preserve">分析依据  </w:t>
      </w:r>
      <w:r>
        <w:t>LCL-026 · 中华人民共和国劳动合同法 · 第二十六条</w:t>
      </w:r>
    </w:p>
    <w:p>
      <w:pPr>
        <w:keepNext/>
      </w:pPr>
      <w:r>
        <w:rPr>
          <w:b/>
        </w:rPr>
        <w:t xml:space="preserve">分析依据  </w:t>
      </w:r>
      <w:r>
        <w:t>LAB-J1-035 · 最高人民法院关于审理劳动争议案件适用法律问题的解释（一）第三十五条 · 第三十五条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color w:val="287B65"/>
        </w:rPr>
        <w:t>建议行动</w:t>
      </w:r>
    </w:p>
    <w:p>
      <w:pPr>
        <w:pStyle w:val="ListBullet"/>
        <w:keepNext/>
      </w:pPr>
      <w:r>
        <w:t>保存劳动合同、该条款原文及签署页、工资条、银行流水、绩效方案与考核结果，比对每笔到账金额与工资构成</w:t>
      </w:r>
    </w:p>
    <w:p>
      <w:pPr>
        <w:pStyle w:val="ListBullet"/>
        <w:keepNext/>
      </w:pPr>
      <w:r>
        <w:t>固定你曾就该月绩效奖金或工资提出异议的记录（微信、邮件、书面函件），异议是否在三天内只是事实之一，不是决定条款效力的唯一标准</w:t>
      </w:r>
    </w:p>
    <w:p>
      <w:pPr>
        <w:pStyle w:val="ListBullet"/>
        <w:keepNext/>
      </w:pPr>
      <w:r>
        <w:t>在仲裁中可就该条主张：其一无效或部分无效（免除单位法定付酬责任、排除劳动者权利），其二即使有效也不应扩张解释到绩效奖金；若存在重大误解、显失公平，可另行依司法解释一第三十五条请求撤销</w:t>
      </w:r>
    </w:p>
    <w:p>
      <w:pPr>
        <w:pStyle w:val="ListBullet"/>
        <w:keepNext w:val="0"/>
      </w:pPr>
      <w:r>
        <w:t>不要因该条款存在就放弃主张，也不要把该条款必然无效当作既定结论</w:t>
      </w:r>
    </w:p>
    <w:p>
      <w:pPr>
        <w:pStyle w:val="Heading2"/>
        <w:keepNext/>
      </w:pPr>
      <w:r>
        <w:rPr>
          <w:color w:val="B78224"/>
        </w:rPr>
        <w:t>02  公司主张绩效考核未达标却未举证，其拒付绩效奖金差额的抗辩缺乏证据支撑  ·  需关注</w:t>
      </w:r>
    </w:p>
    <w:p>
      <w:pPr>
        <w:keepNext/>
        <w:shd w:fill="F3F6F5"/>
      </w:pPr>
      <w:r>
        <w:rPr>
          <w:b/>
        </w:rPr>
        <w:t xml:space="preserve">材料原文  </w:t>
      </w:r>
      <w:r>
        <w:t>补充真实公开事实：公司主张员工2022年12月份绩效考核未达标，但未就该主张举证；同时公司称员工发薪后三日内未提出书面异议，应视为认可，故无需支付绩效奖金差额。</w:t>
      </w:r>
    </w:p>
    <w:p>
      <w:pPr>
        <w:keepNext/>
      </w:pPr>
      <w:r>
        <w:rPr>
          <w:b/>
        </w:rPr>
        <w:t xml:space="preserve">原文位置  </w:t>
      </w:r>
      <w:r>
        <w:rPr>
          <w:color w:val="71847D"/>
        </w:rPr>
        <w:t>用户补充说明</w:t>
      </w:r>
    </w:p>
    <w:p>
      <w:pPr>
        <w:keepNext/>
      </w:pPr>
      <w:r>
        <w:rPr>
          <w:b/>
        </w:rPr>
        <w:t xml:space="preserve">风险说明  </w:t>
      </w:r>
      <w:r>
        <w:t>绩效奖金约定为“经考核后发放”，其是否发放、发放多少取决于考核标准是否明确告知、考核过程与结果，而这些材料通常由单位掌握。公司主张你2022年12月绩效考核未达标，但未就该主张举证，其少发或不发绩效奖金的抗辩说服力较弱。个案参考：一份经本地核对的劳动争议脱敏整理显示，法院认为公司对绩效扣减负举证责任，未充分证明劳动者知晓考核方案及扣减依据时应承担不利后果，该案一审判令支付绩效工资差额；但该文书仅为本地文档核对、未经法院官方来源核验，仅一审、生效状态不明，不能直接套用，仅作个案参考。是否少发及差额金额仍需以工资条、考核记录等核实。</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C005-reasoning · 重复试用期、绩效扣减与违法解除争议 · 一审法院理由；用户提供文书 P222–P228</w:t>
      </w:r>
    </w:p>
    <w:p>
      <w:pPr>
        <w:keepNext/>
      </w:pPr>
      <w:r>
        <w:rPr>
          <w:color w:val="287B65"/>
        </w:rPr>
        <w:t>建议行动</w:t>
      </w:r>
    </w:p>
    <w:p>
      <w:pPr>
        <w:pStyle w:val="ListBullet"/>
        <w:keepNext/>
      </w:pPr>
      <w:r>
        <w:t>向单位书面要求提供2022年12月绩效方案、考核标准、考核过程记录、考核结果及其向你送达的证据</w:t>
      </w:r>
    </w:p>
    <w:p>
      <w:pPr>
        <w:pStyle w:val="ListBullet"/>
        <w:keepNext/>
      </w:pPr>
      <w:r>
        <w:t>保存该月工资条与银行流水，明确基本工资9500元是否足额发放、绩效奖金实际发放数额</w:t>
      </w:r>
    </w:p>
    <w:p>
      <w:pPr>
        <w:pStyle w:val="ListBullet"/>
        <w:keepNext w:val="0"/>
      </w:pPr>
      <w:r>
        <w:t>在仲裁中要求单位就“考核未达标”举证；单位未能举证的，可主张按约定构成4500元绩效奖金计算差额，最终数额以查明事实为准</w:t>
      </w:r>
    </w:p>
    <w:p>
      <w:pPr>
        <w:pStyle w:val="Heading1"/>
      </w:pPr>
      <w:r>
        <w:t>03  待核实事项与分析局限</w:t>
      </w:r>
    </w:p>
    <w:p>
      <w:pPr>
        <w:pStyle w:val="ListBullet"/>
      </w:pPr>
      <w:r>
        <w:t>材料仅为劳动合同公开条款摘录，非原件，抽取校验标记为未完成核验（extraction_verified=false），条款完整性与文字准确性待核验。</w:t>
      </w:r>
    </w:p>
    <w:p>
      <w:pPr>
        <w:pStyle w:val="ListBullet"/>
      </w:pPr>
      <w:r>
        <w:t>未提供2022年12月绩效考核方案、考核过程、考核结果、工资条、银行流水，是否实际少发及差额金额未知，不能预先计算或确定获赔数额。</w:t>
      </w:r>
    </w:p>
    <w:p>
      <w:pPr>
        <w:pStyle w:val="ListBullet"/>
      </w:pPr>
      <w:r>
        <w:t>未说明2023年2月22日解除的原因、主体与形式，解除是否合法无法评价，本次不作违法解除或经济补偿分析。</w:t>
      </w:r>
    </w:p>
    <w:p>
      <w:pPr>
        <w:pStyle w:val="ListBullet"/>
      </w:pPr>
      <w:r>
        <w:t>未提供当年是否已申请仲裁、是否主张权利、有无对方同意履行等日期，时效起算与中断只能核查；劳动关系终止后因拖欠劳动报酬申请仲裁一般应自劳动关系终止之日起一年内提出（劳动争议调解仲裁法第二十七条），是否已过须结合事实判断，不能直接认定已过。</w:t>
      </w:r>
    </w:p>
    <w:p>
      <w:pPr>
        <w:pStyle w:val="ListBullet"/>
      </w:pPr>
      <w:r>
        <w:t>“三日内书面异议”条款的效力、解释范围及是否被撤销，须由劳动争议仲裁机构或人民法院结合全案事实认定；本报告不是裁判，不保证胜诉或获赔。</w:t>
      </w:r>
    </w:p>
    <w:p>
      <w:pPr>
        <w:pStyle w:val="ListBullet"/>
      </w:pPr>
      <w:r>
        <w:t>所引裁判文书相关内容为本地文档核对的脱敏整理、未经法院官方来源核验，仅一审、生效状态不明，仅作个案类比，不是规范依据，不能直接套用其金额或结论。</w:t>
      </w:r>
    </w:p>
    <w:p>
      <w:pPr>
        <w:pStyle w:val="Heading1"/>
      </w:pPr>
      <w:r>
        <w:t>04  依据与来源</w:t>
      </w:r>
    </w:p>
    <w:p>
      <w:r>
        <w:rPr>
          <w:color w:val="71847D"/>
        </w:rPr>
        <w:t>法条、风险提示、指南及案例分别标注；案例结论只用于个案参考。</w:t>
      </w:r>
    </w:p>
    <w:p>
      <w:pPr>
        <w:pStyle w:val="Heading2"/>
        <w:keepNext/>
      </w:pPr>
      <w:r>
        <w:t>LCL-026  中华人民共和国劳动合同法</w:t>
      </w:r>
    </w:p>
    <w:p>
      <w:pPr>
        <w:keepNext/>
        <w:spacing w:line="288" w:lineRule="auto" w:after="80"/>
      </w:pPr>
      <w:r>
        <w:rPr>
          <w:color w:val="71847D"/>
          <w:sz w:val="19"/>
        </w:rPr>
        <w:t>法律条文 · 第二十六条</w:t>
      </w:r>
    </w:p>
    <w:p>
      <w:pPr>
        <w:keepNext/>
        <w:spacing w:line="288" w:lineRule="auto" w:after="80"/>
      </w:pPr>
      <w:r>
        <w:rPr>
          <w:sz w:val="19"/>
        </w:rPr>
        <w:t>第二十六条　下列劳动合同无效或者部分无效：</w:t>
      </w:r>
      <w:r>
        <w:rPr>
          <w:sz w:val="19"/>
        </w:rPr>
        <w:br/>
      </w:r>
      <w:r>
        <w:rPr>
          <w:sz w:val="19"/>
        </w:rPr>
        <w:t>（一）以欺诈、胁迫的手段或者乘人之危，使对方在违背真实意思的情况下订立或者变更劳动合同的；</w:t>
      </w:r>
      <w:r>
        <w:rPr>
          <w:sz w:val="19"/>
        </w:rPr>
        <w:br/>
      </w:r>
      <w:r>
        <w:rPr>
          <w:sz w:val="19"/>
        </w:rPr>
        <w:t>（二）用人单位免除自己的法定责任、排除劳动者权利的；</w:t>
      </w:r>
      <w:r>
        <w:rPr>
          <w:sz w:val="19"/>
        </w:rPr>
        <w:br/>
      </w:r>
      <w:r>
        <w:rPr>
          <w:sz w:val="19"/>
        </w:rPr>
        <w:t>（三）违反法律、行政法规强制性规定的。</w:t>
      </w:r>
      <w:r>
        <w:rPr>
          <w:sz w:val="19"/>
        </w:rPr>
        <w:br/>
      </w:r>
      <w:r>
        <w:rPr>
          <w:sz w:val="19"/>
        </w:rPr>
        <w:t>对劳动合同的无效或者部分无效有争议的，由劳动争议仲裁机构或者人民法院确认。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LAB-J1-035  最高人民法院关于审理劳动争议案件适用法律问题的解释（一）第三十五条</w:t>
      </w:r>
    </w:p>
    <w:p>
      <w:pPr>
        <w:keepNext/>
        <w:spacing w:line="288" w:lineRule="auto" w:after="80"/>
      </w:pPr>
      <w:r>
        <w:rPr>
          <w:color w:val="71847D"/>
          <w:sz w:val="19"/>
        </w:rPr>
        <w:t>法律条文 · 第三十五条</w:t>
      </w:r>
    </w:p>
    <w:p>
      <w:pPr>
        <w:keepNext/>
        <w:spacing w:line="288" w:lineRule="auto" w:after="80"/>
      </w:pPr>
      <w:r>
        <w:rPr>
          <w:sz w:val="19"/>
        </w:rPr>
        <w:t>第三十五条　劳动者与用人单位就解除或者终止劳动合同办理相关手续、支付工资报酬、加班费、经济补偿或者赔偿金等达成的协议，不违反法律、行政法规的强制性规定，且不存在欺诈、胁迫或者乘人之危情形的，应当认定有效。</w:t>
      </w:r>
      <w:r>
        <w:rPr>
          <w:sz w:val="19"/>
        </w:rPr>
        <w:br/>
      </w:r>
      <w:r>
        <w:rPr>
          <w:sz w:val="19"/>
        </w:rPr>
        <w:t>前款协议存在重大误解或者显失公平情形，当事人请求撤销的，人民法院应予支持。</w:t>
      </w:r>
    </w:p>
    <w:p>
      <w:pPr>
        <w:keepNext/>
        <w:spacing w:line="288" w:lineRule="auto" w:after="80"/>
      </w:pPr>
      <w:r>
        <w:rPr>
          <w:b/>
          <w:sz w:val="19"/>
        </w:rPr>
        <w:t xml:space="preserve">适用边界  </w:t>
      </w:r>
      <w:r>
        <w:rPr>
          <w:sz w:val="19"/>
        </w:rPr>
        <w:t>结清声明先解释约定范围；重大误解、显失公平是请求撤销事由，不混同无效。</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https://www.court.gov.cn/fabu/xiangqing/282121.html</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https://rsj.weihai.gov.cn/art/2018/12/31/art_79306_2674768.html</w:t>
        </w:r>
      </w:hyperlink>
    </w:p>
    <w:p>
      <w:pPr>
        <w:pStyle w:val="Heading2"/>
        <w:keepNext/>
      </w:pPr>
      <w:r>
        <w:t>C005-reasoning  重复试用期、绩效扣减与违法解除争议</w:t>
      </w:r>
    </w:p>
    <w:p>
      <w:pPr>
        <w:keepNext/>
        <w:spacing w:line="288" w:lineRule="auto" w:after="80"/>
      </w:pPr>
      <w:r>
        <w:rPr>
          <w:color w:val="71847D"/>
          <w:sz w:val="19"/>
        </w:rPr>
        <w:t>案例参考 · 一审法院理由；用户提供文书 P222–P228</w:t>
      </w:r>
    </w:p>
    <w:p>
      <w:pPr>
        <w:keepNext/>
        <w:spacing w:line="288" w:lineRule="auto" w:after="80"/>
      </w:pPr>
      <w:r>
        <w:rPr>
          <w:sz w:val="19"/>
        </w:rPr>
        <w:t>【用户提供裁判文书的脱敏整理，已对照本地文档，官方真实性与完整性待核验；非法律原文】</w:t>
      </w:r>
      <w:r>
        <w:rPr>
          <w:sz w:val="19"/>
        </w:rPr>
        <w:br/>
      </w:r>
      <w:r>
        <w:rPr>
          <w:sz w:val="19"/>
        </w:rPr>
        <w:t>法院认为，同一用人单位与同一劳动者只能约定一次试用期，延长考察不能规避该限制。公司对绩效扣减负举证责任，未充分证明劳动者知晓考核方案及扣减依据；解除所依据的考核情况亦缺乏充分证据，法院认定本案解除违法。重复试用、工资及解除问题分别评价。</w:t>
      </w:r>
    </w:p>
    <w:p>
      <w:pPr>
        <w:keepNext/>
        <w:spacing w:line="288" w:lineRule="auto" w:after="80"/>
      </w:pPr>
      <w:r>
        <w:rPr>
          <w:b/>
          <w:sz w:val="19"/>
        </w:rPr>
        <w:t xml:space="preserve">适用边界  </w:t>
      </w:r>
      <w:r>
        <w:rPr>
          <w:sz w:val="19"/>
        </w:rPr>
        <w:t>仅提供一审文书，未见后续上诉或生效证明；须结合合同、管理制度和证据逐项判断，不能将仲裁金额当最终判项。</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P222–P228</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fabu/xiangqing/282121.html" TargetMode="External"/><Relationship Id="rId15" Type="http://schemas.openxmlformats.org/officeDocument/2006/relationships/hyperlink" Target="https://rsj.weihai.gov.cn/art/2018/12/31/art_79306_26747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