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1 版  |  生成时间：2026-10-06 21:28</w:t>
      </w:r>
    </w:p>
    <w:p>
      <w:r>
        <w:rPr>
          <w:color w:val="71847D"/>
        </w:rPr>
        <w:t>本报告依据已提供材料进行风险提示；风险等级不是违法认定或风险概率。</w:t>
      </w:r>
    </w:p>
    <w:p>
      <w:pPr>
        <w:pStyle w:val="Heading1"/>
      </w:pPr>
      <w:r>
        <w:t>01  结论与风险概览</w:t>
      </w:r>
    </w:p>
    <w:p>
      <w:pPr>
        <w:shd w:fill="EDF6F1"/>
      </w:pPr>
      <w:r>
        <w:t>根据现有摘录，可归纳的风险信号为：员工提出辞职后随即离开，摘录未显示已提前三十日书面通知，亦未显示存在可即时解除的法定情形，可能构成违反劳动合同法规定解除劳动合同，单位可据第九十条就实际损失主张赔偿，但须证明损失与因果关系；员工拒不办理工作交接、交还工具和技术资料，构成对约定义务的违反，单位据实主张赔偿同样受实际损失和因果关系限制。上述为条件性分析，不构成违法认定或胜诉保证。</w:t>
      </w:r>
    </w:p>
    <w:p>
      <w:r>
        <w:rPr>
          <w:b/>
        </w:rPr>
        <w:t xml:space="preserve">概览依据：  </w:t>
      </w:r>
      <w:r>
        <w:rPr>
          <w:color w:val="71847D"/>
        </w:rPr>
        <w:t>LCL-037、LL-2018-031、LCL-090、LCL-050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未提前三十日书面通知即离职的违法解除赔偿风险</w:t>
            </w:r>
          </w:p>
        </w:tc>
        <w:tc>
          <w:tcPr>
            <w:tcW w:type="dxa" w:w="5443"/>
          </w:tcPr>
          <w:p>
            <w:pPr>
              <w:spacing w:line="288" w:lineRule="auto" w:after="140" w:before="140"/>
            </w:pPr>
            <w:r>
              <w:rPr>
                <w:sz w:val="19"/>
              </w:rPr>
              <w:t>核对是否存在书面辞职通知及其送达时间、内容，确认是否满足或接近三十日预告期。</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拒不办理工作交接、交还资料的实际损失赔偿风险</w:t>
            </w:r>
          </w:p>
        </w:tc>
        <w:tc>
          <w:tcPr>
            <w:tcW w:type="dxa" w:w="5443"/>
          </w:tcPr>
          <w:p>
            <w:pPr>
              <w:spacing w:line="288" w:lineRule="auto" w:after="140" w:before="140"/>
            </w:pPr>
            <w:r>
              <w:rPr>
                <w:sz w:val="19"/>
              </w:rPr>
              <w:t>单位应固定未交接的工具、资料清单及催告记录，量化直接损失并保留凭证。</w:t>
            </w:r>
          </w:p>
        </w:tc>
      </w:tr>
    </w:tbl>
    <w:p>
      <w:r>
        <w:rPr>
          <w:b/>
        </w:rPr>
        <w:t xml:space="preserve">本版修改  </w:t>
      </w:r>
      <w:r>
        <w:t>重新限定裁决口径：删除无直接依据的档案扣押行政责任和过度概括性核查条目，把法律判断逐项对应到直接规范，并将无法核实事项移入limitations；保留两项有具体异常事实支撑的独立风险。</w:t>
      </w:r>
    </w:p>
    <w:p>
      <w:pPr>
        <w:pStyle w:val="Heading1"/>
      </w:pPr>
      <w:r>
        <w:t>02  风险详情</w:t>
      </w:r>
    </w:p>
    <w:p>
      <w:pPr>
        <w:pStyle w:val="Heading2"/>
        <w:keepNext/>
      </w:pPr>
      <w:r>
        <w:rPr>
          <w:color w:val="B78224"/>
        </w:rPr>
        <w:t>01  未提前三十日书面通知即离职的违法解除赔偿风险  ·  需关注</w:t>
      </w:r>
    </w:p>
    <w:p>
      <w:pPr>
        <w:keepNext/>
        <w:shd w:fill="F3F6F5"/>
      </w:pPr>
      <w:r>
        <w:rPr>
          <w:b/>
        </w:rPr>
        <w:t xml:space="preserve">材料原文  </w:t>
      </w:r>
      <w:r>
        <w:t>2022年2月15日，员工提出辞职，随即离开且拒不办理工作交接。</w:t>
      </w:r>
    </w:p>
    <w:p>
      <w:pPr>
        <w:keepNext/>
      </w:pPr>
      <w:r>
        <w:rPr>
          <w:b/>
        </w:rPr>
        <w:t xml:space="preserve">原文位置  </w:t>
      </w:r>
      <w:r>
        <w:rPr>
          <w:color w:val="71847D"/>
        </w:rPr>
        <w:t>输入文字.txt · 第1页</w:t>
      </w:r>
    </w:p>
    <w:p>
      <w:pPr>
        <w:keepNext/>
      </w:pPr>
      <w:r>
        <w:rPr>
          <w:b/>
        </w:rPr>
        <w:t xml:space="preserve">风险说明  </w:t>
      </w:r>
      <w:r>
        <w:t>摘录显示员工于2022年2月15日提出辞职并随即离开。劳动合同法第三十七条要求劳动者提前三十日以书面形式通知用人单位方可解除（试用期内为三日），劳动法第三十一条同旨。摘录未显示已提前三十日书面通知，也未显示单位同意其即时离职，或存在可即时解除的法定情形。若确无提前通知，可能构成违反本法规定解除劳动合同，单位可据第九十条主张赔偿，但须自行证明所受实际损失及因果关系，赔偿范围不等于岗位空缺或全部经营损失。</w:t>
      </w:r>
    </w:p>
    <w:p>
      <w:pPr>
        <w:keepNext/>
      </w:pPr>
      <w:r>
        <w:rPr>
          <w:b/>
        </w:rPr>
        <w:t xml:space="preserve">分析依据  </w:t>
      </w:r>
      <w:r>
        <w:t>LCL-037 · 中华人民共和国劳动合同法 · 第三十七条</w:t>
      </w:r>
    </w:p>
    <w:p>
      <w:pPr>
        <w:keepNext/>
      </w:pPr>
      <w:r>
        <w:rPr>
          <w:b/>
        </w:rPr>
        <w:t xml:space="preserve">分析依据  </w:t>
      </w:r>
      <w:r>
        <w:t>LL-2018-031 · 中华人民共和国劳动法 · 第三十一条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核对是否存在书面辞职通知及其送达时间、内容，确认是否满足或接近三十日预告期。</w:t>
      </w:r>
    </w:p>
    <w:p>
      <w:pPr>
        <w:pStyle w:val="ListBullet"/>
        <w:keepNext/>
      </w:pPr>
      <w:r>
        <w:t>收集单位同意缩短通知期或放弃预告期要求的沟通记录，判断是否已协商一致。</w:t>
      </w:r>
    </w:p>
    <w:p>
      <w:pPr>
        <w:pStyle w:val="ListBullet"/>
        <w:keepNext w:val="0"/>
      </w:pPr>
      <w:r>
        <w:t>核查辞职前后是否存在欠薪、未缴社保等可构成即时解除理由的事实。</w:t>
      </w:r>
    </w:p>
    <w:p>
      <w:pPr>
        <w:pStyle w:val="Heading2"/>
        <w:keepNext/>
      </w:pPr>
      <w:r>
        <w:rPr>
          <w:color w:val="B78224"/>
        </w:rPr>
        <w:t>02  拒不办理工作交接、交还资料的实际损失赔偿风险  ·  需关注</w:t>
      </w:r>
    </w:p>
    <w:p>
      <w:pPr>
        <w:keepNext/>
        <w:shd w:fill="F3F6F5"/>
      </w:pPr>
      <w:r>
        <w:rPr>
          <w:b/>
        </w:rPr>
        <w:t xml:space="preserve">材料原文  </w:t>
      </w:r>
      <w:r>
        <w:t>合同约定：离职应办理工作交接手续，交还工具、技术资料，造成损失据实赔偿。</w:t>
      </w:r>
    </w:p>
    <w:p>
      <w:pPr>
        <w:keepNext/>
      </w:pPr>
      <w:r>
        <w:rPr>
          <w:b/>
        </w:rPr>
        <w:t xml:space="preserve">原文位置  </w:t>
      </w:r>
      <w:r>
        <w:rPr>
          <w:color w:val="71847D"/>
        </w:rPr>
        <w:t>输入文字.txt · 第1页</w:t>
      </w:r>
    </w:p>
    <w:p>
      <w:pPr>
        <w:keepNext/>
      </w:pPr>
      <w:r>
        <w:rPr>
          <w:b/>
        </w:rPr>
        <w:t xml:space="preserve">风险说明  </w:t>
      </w:r>
      <w:r>
        <w:t>合同约定离职应办理工作交接、交还工具与技术资料、造成损失据实赔偿；摘录另显示员工拒不办理交接。劳动合同法第五十条第二款要求劳动者按双方约定办理工作交接，故拒不交接本身构成对约定义务的违反；单位据此主张赔偿，须证明具体损失项目、数额及与拒不交接之间的因果关系，并注意已采取减损措施。仅以项目延误、资料未交等笼统说法尚不足以直接支持赔偿。交接义务的履行与已付出劳动应得报酬是两回事，不能以未交接为由拒付已发生的工资。</w:t>
      </w:r>
    </w:p>
    <w:p>
      <w:pPr>
        <w:keepNext/>
      </w:pPr>
      <w:r>
        <w:rPr>
          <w:b/>
        </w:rPr>
        <w:t xml:space="preserve">分析依据  </w:t>
      </w:r>
      <w:r>
        <w:t>LCL-050 · 中华人民共和国劳动合同法 · 第五十条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单位应固定未交接的工具、资料清单及催告记录，量化直接损失并保留凭证。</w:t>
      </w:r>
    </w:p>
    <w:p>
      <w:pPr>
        <w:pStyle w:val="ListBullet"/>
        <w:keepNext/>
      </w:pPr>
      <w:r>
        <w:t>员工若已实际完成或部分完成交接，应保留交接清单、签收记录或往来消息。</w:t>
      </w:r>
    </w:p>
    <w:p>
      <w:pPr>
        <w:pStyle w:val="ListBullet"/>
        <w:keepNext w:val="0"/>
      </w:pPr>
      <w:r>
        <w:t>双方可就交接范围、时间作书面安排，避免以拒付工资方式施压。</w:t>
      </w:r>
    </w:p>
    <w:p>
      <w:pPr>
        <w:pStyle w:val="Heading1"/>
      </w:pPr>
      <w:r>
        <w:t>03  待核实事项与分析局限</w:t>
      </w:r>
    </w:p>
    <w:p>
      <w:pPr>
        <w:pStyle w:val="ListBullet"/>
      </w:pPr>
      <w:r>
        <w:t>材料为“研发岗位合同公开摘录（非原件）”，未经与原件核对，未核验企业名称、合同全部条款和签署情况，摘录内容可能不完整。</w:t>
      </w:r>
    </w:p>
    <w:p>
      <w:pPr>
        <w:pStyle w:val="ListBullet"/>
      </w:pPr>
      <w:r>
        <w:t>未提供辞职通知的形式与送达时间、单位是否同意即时离职、是否曾催告交接及日期，上述关键事实不明，直接影响第三十七条适用与赔偿计算。</w:t>
      </w:r>
    </w:p>
    <w:p>
      <w:pPr>
        <w:pStyle w:val="ListBullet"/>
      </w:pPr>
      <w:r>
        <w:t>未提供单位因未交接实际遭受损失的证据（项目延误、外部成本、客户索赔等），无法判断第九十条赔偿主张能否成立。</w:t>
      </w:r>
    </w:p>
    <w:p>
      <w:pPr>
        <w:pStyle w:val="ListBullet"/>
      </w:pPr>
      <w:r>
        <w:t>未提供工资标准与发放记录、考勤、社保缴纳、加班安排、押金或扣押证件等事实，故不对欠薪、加班费、社保、收费类问题作风险认定。</w:t>
      </w:r>
    </w:p>
    <w:p>
      <w:pPr>
        <w:pStyle w:val="ListBullet"/>
      </w:pPr>
      <w:r>
        <w:t>摘录事实发生在2020至2022年，未提供任何一方主张权利、申请仲裁或对方同意履行的时间；仲裁时效一年，自知道或应当知道权利被侵害之日起计算，并可因主张权利、请求救济或对方同意履行而中断，劳动报酬争议在关系存续期间不受一年限制、终止后自终止之日起一年内提出；因缺少上述日期，无法给出时效结论。</w:t>
      </w:r>
    </w:p>
    <w:p>
      <w:pPr>
        <w:pStyle w:val="ListBullet"/>
      </w:pPr>
      <w:r>
        <w:t>本报告基于现行官方条文与个人材料分析，不是法院或仲裁机构的裁判，不构成对任何一方胜诉或赔偿数额的保证。</w:t>
      </w:r>
    </w:p>
    <w:p>
      <w:pPr>
        <w:pStyle w:val="ListBullet"/>
      </w:pPr>
      <w:r>
        <w:t>核查与条件分析（不计为风险）：员工离职结算与手续需分别判断。摘录未提及工资支付、经济补偿、档案和社保转移、离职证明等，无法认定单位已履行或未履行。就规则而言：由员工本人提出辞职一般预示无权主张经济补偿，除非其解除依据落在可获补偿的法定情形；已提供劳动的工资仍须结清。单位应在解除或终止劳动合同时出具书面证明，并在十五日内办理档案和社会保险关系转移手续，未出具证明造成损害应赔偿。具体有无欠付及损害需补充材料确认。</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LL-2018-031  中华人民共和国劳动法</w:t>
      </w:r>
    </w:p>
    <w:p>
      <w:pPr>
        <w:keepNext/>
        <w:spacing w:line="288" w:lineRule="auto" w:after="80"/>
      </w:pPr>
      <w:r>
        <w:rPr>
          <w:color w:val="71847D"/>
          <w:sz w:val="19"/>
        </w:rPr>
        <w:t>法律条文 · 第三十一条</w:t>
      </w:r>
    </w:p>
    <w:p>
      <w:pPr>
        <w:keepNext/>
        <w:spacing w:line="288" w:lineRule="auto" w:after="80"/>
      </w:pPr>
      <w:r>
        <w:rPr>
          <w:sz w:val="19"/>
        </w:rPr>
        <w:t>第三十一条</w:t>
      </w:r>
      <w:r>
        <w:rPr>
          <w:sz w:val="19"/>
        </w:rPr>
        <w:br/>
      </w:r>
      <w:r>
        <w:rPr>
          <w:sz w:val="19"/>
        </w:rPr>
        <w:t>劳动者解除劳动合同，应当提前三十日以书面形式通知用人单位。</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beijing.gov.cn/zhengce/zhengcefagui/qtwj/201912/t20191219_1307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