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真实案例-研发员工离职拒交接</w:t>
      </w:r>
    </w:p>
    <w:p>
      <w:r>
        <w:rPr>
          <w:color w:val="71847D"/>
        </w:rPr>
        <w:t>第 2 版  |  生成时间：2026-10-06 21:28</w:t>
      </w:r>
    </w:p>
    <w:p>
      <w:r>
        <w:rPr>
          <w:color w:val="71847D"/>
        </w:rPr>
        <w:t>本报告依据已提供材料进行风险提示；风险等级不是违法认定或风险概率。</w:t>
      </w:r>
    </w:p>
    <w:p>
      <w:pPr>
        <w:pStyle w:val="Heading1"/>
      </w:pPr>
      <w:r>
        <w:t>01  结论与风险概览</w:t>
      </w:r>
    </w:p>
    <w:p>
      <w:pPr>
        <w:shd w:fill="EDF6F1"/>
      </w:pPr>
      <w:r>
        <w:t>结合补充事实更新：员工在2020年12月1日起的三年合同期内，于2022年2月15日提出辞职并随即离开，未提前三十日书面通知，也拒不办理工作交接、交还工具与技术资料。单位一方新增事实为：启动备用方案、另行招聘人员并委托外部设计补救研发项目，研发进度延误导致样机迟延交付，单位已对外承担违约责任。这些事实可作为单位主张损失的论据，但仍须证明已采取合理减损措施、各项支出与延误损失的具体数额，以及与员工未提前通知、未交接之间的因果关系，本报告不预设赔偿金额。员工一方除可能面临违约解除与违反交接约定的赔偿主张外，仍应关注自身已付出劳动报酬是否结清。上述为条件性风险信号，不构成违法认定或胜诉保证。</w:t>
      </w:r>
    </w:p>
    <w:p>
      <w:r>
        <w:rPr>
          <w:b/>
        </w:rPr>
        <w:t xml:space="preserve">概览依据：  </w:t>
      </w:r>
      <w:r>
        <w:rPr>
          <w:color w:val="71847D"/>
        </w:rPr>
        <w:t>LCL-037、LL-2018-031、LCL-090、LCL-050</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未提前三十日书面通知即离职，可能承担违法解除的赔偿责任</w:t>
            </w:r>
          </w:p>
        </w:tc>
        <w:tc>
          <w:tcPr>
            <w:tcW w:type="dxa" w:w="5443"/>
          </w:tcPr>
          <w:p>
            <w:pPr>
              <w:spacing w:line="288" w:lineRule="auto" w:after="140" w:before="140"/>
            </w:pPr>
            <w:r>
              <w:rPr>
                <w:sz w:val="19"/>
              </w:rPr>
              <w:t>员工应核实是否存在书面辞职通知及送达时间，核实单位是否同意缩短或放弃预告期，以及离职前是否存在欠薪、未缴社保等可即时解除的事实。</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单位因补救研发、赶工及迟延交付承担的违约责任，能否向员工追偿取决于损失、减损与因果关系</w:t>
            </w:r>
          </w:p>
        </w:tc>
        <w:tc>
          <w:tcPr>
            <w:tcW w:type="dxa" w:w="5443"/>
          </w:tcPr>
          <w:p>
            <w:pPr>
              <w:spacing w:line="288" w:lineRule="auto" w:after="140" w:before="140"/>
            </w:pPr>
            <w:r>
              <w:rPr>
                <w:sz w:val="19"/>
              </w:rPr>
              <w:t>单位应逐项整理备用方案费用、招聘成本、外部委托设计费、对外违约金等凭证，并说明每笔支出与员工未交接、未预告离职的对应关系。</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拒不办理工作交接、交还工具和技术资料，可能构成违反约定义务的赔偿责任</w:t>
            </w:r>
          </w:p>
        </w:tc>
        <w:tc>
          <w:tcPr>
            <w:tcW w:type="dxa" w:w="5443"/>
          </w:tcPr>
          <w:p>
            <w:pPr>
              <w:spacing w:line="288" w:lineRule="auto" w:after="140" w:before="140"/>
            </w:pPr>
            <w:r>
              <w:rPr>
                <w:sz w:val="19"/>
              </w:rPr>
              <w:t>单位应固定未交接的工具、资料清单及催告交接的记录，量化直接损失并保留凭证。</w:t>
            </w:r>
          </w:p>
        </w:tc>
      </w:tr>
    </w:tbl>
    <w:p>
      <w:r>
        <w:rPr>
          <w:b/>
        </w:rPr>
        <w:t xml:space="preserve">本版修改  </w:t>
      </w:r>
      <w:r>
        <w:t>根据用户补充事实新增“单位补救研发、赶工及迟延交付承担违约责任”的赔偿论据，并将“未提前通知离职”相应更新为已确认事实；补充事实未提供损失数额与凭证，故将其纳入因果关系与举证限制，不预设赔偿金额，原两项风险结构保持不变。</w:t>
      </w:r>
    </w:p>
    <w:p>
      <w:pPr>
        <w:pStyle w:val="Heading1"/>
      </w:pPr>
      <w:r>
        <w:t>02  风险详情</w:t>
      </w:r>
    </w:p>
    <w:p>
      <w:pPr>
        <w:pStyle w:val="Heading2"/>
        <w:keepNext/>
      </w:pPr>
      <w:r>
        <w:rPr>
          <w:color w:val="B78224"/>
        </w:rPr>
        <w:t>01  未提前三十日书面通知即离职，可能承担违法解除的赔偿责任  ·  需关注</w:t>
      </w:r>
    </w:p>
    <w:p>
      <w:pPr>
        <w:keepNext/>
        <w:shd w:fill="F3F6F5"/>
      </w:pPr>
      <w:r>
        <w:rPr>
          <w:b/>
        </w:rPr>
        <w:t xml:space="preserve">材料原文  </w:t>
      </w:r>
      <w:r>
        <w:t>员工未提前三十日通知即自行离职。</w:t>
      </w:r>
    </w:p>
    <w:p>
      <w:pPr>
        <w:keepNext/>
      </w:pPr>
      <w:r>
        <w:rPr>
          <w:b/>
        </w:rPr>
        <w:t xml:space="preserve">原文位置  </w:t>
      </w:r>
      <w:r>
        <w:rPr>
          <w:color w:val="71847D"/>
        </w:rPr>
        <w:t>用户补充说明</w:t>
      </w:r>
    </w:p>
    <w:p>
      <w:pPr>
        <w:keepNext/>
      </w:pPr>
      <w:r>
        <w:rPr>
          <w:b/>
        </w:rPr>
        <w:t xml:space="preserve">风险说明  </w:t>
      </w:r>
      <w:r>
        <w:t>补充事实确认员工未提前三十日通知即自行离职。劳动合同法第三十七条规定劳动者应提前三十日以书面形式通知用人单位方可解除，劳动法第三十一条同旨。员工未履行该预告义务即离岗，若不存在单位同意即时离职或可即时解除的法定情形，可能构成违反本法规定解除劳动合同，单位可依劳动合同法第九十条主张赔偿。单位需证明实际损失及因果关系，赔偿范围以直接、可量化的损失为限，不预设金额。</w:t>
      </w:r>
    </w:p>
    <w:p>
      <w:pPr>
        <w:keepNext/>
      </w:pPr>
      <w:r>
        <w:rPr>
          <w:b/>
        </w:rPr>
        <w:t xml:space="preserve">分析依据  </w:t>
      </w:r>
      <w:r>
        <w:t>LCL-037 · 中华人民共和国劳动合同法 · 第三十七条</w:t>
      </w:r>
    </w:p>
    <w:p>
      <w:pPr>
        <w:keepNext/>
      </w:pPr>
      <w:r>
        <w:rPr>
          <w:b/>
        </w:rPr>
        <w:t xml:space="preserve">分析依据  </w:t>
      </w:r>
      <w:r>
        <w:t>LL-2018-031 · 中华人民共和国劳动法 · 第三十一条</w:t>
      </w:r>
    </w:p>
    <w:p>
      <w:pPr>
        <w:keepNext/>
      </w:pPr>
      <w:r>
        <w:rPr>
          <w:b/>
        </w:rPr>
        <w:t xml:space="preserve">分析依据  </w:t>
      </w:r>
      <w:r>
        <w:t>LCL-090 · 中华人民共和国劳动合同法 · 第九十条</w:t>
      </w:r>
    </w:p>
    <w:p>
      <w:pPr>
        <w:keepNext/>
      </w:pPr>
      <w:r>
        <w:rPr>
          <w:color w:val="287B65"/>
        </w:rPr>
        <w:t>建议行动</w:t>
      </w:r>
    </w:p>
    <w:p>
      <w:pPr>
        <w:pStyle w:val="ListBullet"/>
        <w:keepNext/>
      </w:pPr>
      <w:r>
        <w:t>员工应核实是否存在书面辞职通知及送达时间，核实单位是否同意缩短或放弃预告期，以及离职前是否存在欠薪、未缴社保等可即时解除的事实。</w:t>
      </w:r>
    </w:p>
    <w:p>
      <w:pPr>
        <w:pStyle w:val="ListBullet"/>
        <w:keepNext/>
      </w:pPr>
      <w:r>
        <w:t>单位应固定离职日期、未预告事实的证据（通知、签到、门禁、工作记录），并就损失金额逐项举证、保留支付凭证。</w:t>
      </w:r>
    </w:p>
    <w:p>
      <w:pPr>
        <w:pStyle w:val="ListBullet"/>
        <w:keepNext w:val="0"/>
      </w:pPr>
      <w:r>
        <w:t>双方就损失数额与因果关系有争议的，可通过协商、调解或仲裁解决，不以单方通知的金额为准。</w:t>
      </w:r>
    </w:p>
    <w:p>
      <w:pPr>
        <w:pStyle w:val="Heading2"/>
        <w:keepNext/>
      </w:pPr>
      <w:r>
        <w:rPr>
          <w:color w:val="B78224"/>
        </w:rPr>
        <w:t>02  单位因补救研发、赶工及迟延交付承担的违约责任，能否向员工追偿取决于损失、减损与因果关系  ·  需关注</w:t>
      </w:r>
    </w:p>
    <w:p>
      <w:pPr>
        <w:keepNext/>
        <w:shd w:fill="F3F6F5"/>
      </w:pPr>
      <w:r>
        <w:rPr>
          <w:b/>
        </w:rPr>
        <w:t xml:space="preserve">材料原文  </w:t>
      </w:r>
      <w:r>
        <w:t>补充公开事实：公司启动备用方案、招聘人员并委托设计补救研发项目；研发设计进度延误，迟延交付样机，公司承担了违约责任。</w:t>
      </w:r>
    </w:p>
    <w:p>
      <w:pPr>
        <w:keepNext/>
      </w:pPr>
      <w:r>
        <w:rPr>
          <w:b/>
        </w:rPr>
        <w:t xml:space="preserve">原文位置  </w:t>
      </w:r>
      <w:r>
        <w:rPr>
          <w:color w:val="71847D"/>
        </w:rPr>
        <w:t>用户补充说明</w:t>
      </w:r>
    </w:p>
    <w:p>
      <w:pPr>
        <w:keepNext/>
      </w:pPr>
      <w:r>
        <w:rPr>
          <w:b/>
        </w:rPr>
        <w:t xml:space="preserve">风险说明  </w:t>
      </w:r>
      <w:r>
        <w:t>补充事实显示单位启动备用方案、另行招聘人员并委托设计补救研发项目，研发进度仍延误、样机迟延交付，单位已承担违约责任。这些可作为单位据劳动合同法第九十条主张损失的论据，但赔偿以实际损失、因果关系为条件：单位启动备用和外部委托所产生的额外支出、对外承担的违约金等，须能证明是为补救员工未交接、未预告离职所直接引起；对外违约责任也可能是项目本身或其他原因所致，需区分成因。目前未提供实际损失数额和支付凭证，无法评估金额。</w:t>
      </w:r>
    </w:p>
    <w:p>
      <w:pPr>
        <w:keepNext/>
      </w:pPr>
      <w:r>
        <w:rPr>
          <w:b/>
        </w:rPr>
        <w:t xml:space="preserve">分析依据  </w:t>
      </w:r>
      <w:r>
        <w:t>LCL-090 · 中华人民共和国劳动合同法 · 第九十条</w:t>
      </w:r>
    </w:p>
    <w:p>
      <w:pPr>
        <w:keepNext/>
      </w:pPr>
      <w:r>
        <w:rPr>
          <w:color w:val="287B65"/>
        </w:rPr>
        <w:t>建议行动</w:t>
      </w:r>
    </w:p>
    <w:p>
      <w:pPr>
        <w:pStyle w:val="ListBullet"/>
        <w:keepNext/>
      </w:pPr>
      <w:r>
        <w:t>单位应逐项整理备用方案费用、招聘成本、外部委托设计费、对外违约金等凭证，并说明每笔支出与员工未交接、未预告离职的对应关系。</w:t>
      </w:r>
    </w:p>
    <w:p>
      <w:pPr>
        <w:pStyle w:val="ListBullet"/>
        <w:keepNext/>
      </w:pPr>
      <w:r>
        <w:t>单位应说明已采取何种减损措施及其时点，避免将扩大部分或与本案无关的损失计入。</w:t>
      </w:r>
    </w:p>
    <w:p>
      <w:pPr>
        <w:pStyle w:val="ListBullet"/>
        <w:keepNext/>
      </w:pPr>
      <w:r>
        <w:t>员工可核查延误是否由项目管理、资源安排、其他人员变动等因素造成，主张因果关系抗辩。</w:t>
      </w:r>
    </w:p>
    <w:p>
      <w:pPr>
        <w:pStyle w:val="ListBullet"/>
        <w:keepNext w:val="0"/>
      </w:pPr>
      <w:r>
        <w:t>在数额未核定前，双方均不宜按单方估算的金额主张或承诺赔偿。</w:t>
      </w:r>
    </w:p>
    <w:p>
      <w:pPr>
        <w:pStyle w:val="Heading2"/>
        <w:keepNext/>
      </w:pPr>
      <w:r>
        <w:rPr>
          <w:color w:val="B78224"/>
        </w:rPr>
        <w:t>03  拒不办理工作交接、交还工具和技术资料，可能构成违反约定义务的赔偿责任  ·  需关注</w:t>
      </w:r>
    </w:p>
    <w:p>
      <w:pPr>
        <w:keepNext/>
        <w:shd w:fill="F3F6F5"/>
      </w:pPr>
      <w:r>
        <w:rPr>
          <w:b/>
        </w:rPr>
        <w:t xml:space="preserve">材料原文  </w:t>
      </w:r>
      <w:r>
        <w:t>合同约定：离职应办理工作交接手续，交还工具、技术资料，造成损失据实赔偿。</w:t>
      </w:r>
    </w:p>
    <w:p>
      <w:pPr>
        <w:keepNext/>
      </w:pPr>
      <w:r>
        <w:rPr>
          <w:b/>
        </w:rPr>
        <w:t xml:space="preserve">原文位置  </w:t>
      </w:r>
      <w:r>
        <w:rPr>
          <w:color w:val="71847D"/>
        </w:rPr>
        <w:t>输入文字.txt · 第1页</w:t>
      </w:r>
    </w:p>
    <w:p>
      <w:pPr>
        <w:keepNext/>
      </w:pPr>
      <w:r>
        <w:rPr>
          <w:b/>
        </w:rPr>
        <w:t xml:space="preserve">风险说明  </w:t>
      </w:r>
      <w:r>
        <w:t>合同约定离职应办理工作交接、交还工具与技术资料、造成损失据实赔偿；材料另显示员工拒不办理交接。劳动合同法第五十条第二款要求劳动者按双方约定办理工作交接，拒不交接构成对约定义务的违反；单位据此主张赔偿仍须证明具体损失数额与因果关系，不能仅以“未交接”推定损失。交接义务与已付出劳动的工资是两回事，不能以未交接为由拒付已发生的工资。</w:t>
      </w:r>
    </w:p>
    <w:p>
      <w:pPr>
        <w:keepNext/>
      </w:pPr>
      <w:r>
        <w:rPr>
          <w:b/>
        </w:rPr>
        <w:t xml:space="preserve">分析依据  </w:t>
      </w:r>
      <w:r>
        <w:t>LCL-050 · 中华人民共和国劳动合同法 · 第五十条</w:t>
      </w:r>
    </w:p>
    <w:p>
      <w:pPr>
        <w:keepNext/>
      </w:pPr>
      <w:r>
        <w:rPr>
          <w:b/>
        </w:rPr>
        <w:t xml:space="preserve">分析依据  </w:t>
      </w:r>
      <w:r>
        <w:t>LCL-090 · 中华人民共和国劳动合同法 · 第九十条</w:t>
      </w:r>
    </w:p>
    <w:p>
      <w:pPr>
        <w:keepNext/>
      </w:pPr>
      <w:r>
        <w:rPr>
          <w:color w:val="287B65"/>
        </w:rPr>
        <w:t>建议行动</w:t>
      </w:r>
    </w:p>
    <w:p>
      <w:pPr>
        <w:pStyle w:val="ListBullet"/>
        <w:keepNext/>
      </w:pPr>
      <w:r>
        <w:t>单位应固定未交接的工具、资料清单及催告交接的记录，量化直接损失并保留凭证。</w:t>
      </w:r>
    </w:p>
    <w:p>
      <w:pPr>
        <w:pStyle w:val="ListBullet"/>
        <w:keepNext/>
      </w:pPr>
      <w:r>
        <w:t>员工若已实际完成或部分完成交接，应保留交接清单、签收记录或往来消息。</w:t>
      </w:r>
    </w:p>
    <w:p>
      <w:pPr>
        <w:pStyle w:val="ListBullet"/>
        <w:keepNext w:val="0"/>
      </w:pPr>
      <w:r>
        <w:t>双方可就交接范围与时间作书面安排，避免以拒付工资方式施压。</w:t>
      </w:r>
    </w:p>
    <w:p>
      <w:pPr>
        <w:pStyle w:val="Heading1"/>
      </w:pPr>
      <w:r>
        <w:t>03  待核实事项与分析局限</w:t>
      </w:r>
    </w:p>
    <w:p>
      <w:pPr>
        <w:pStyle w:val="ListBullet"/>
      </w:pPr>
      <w:r>
        <w:t>材料为“研发岗位合同公开摘录（非原件）”，未经与原件核对，未核验企业名称、合同全部条款和签署情况，摘录内容可能不完整。</w:t>
      </w:r>
    </w:p>
    <w:p>
      <w:pPr>
        <w:pStyle w:val="ListBullet"/>
      </w:pPr>
      <w:r>
        <w:t>未提供离职的具体送达时间与形式、单位是否同意即时离职、是否曾催告交接及日期；补充事实仅说明“未提前三十日通知”，仍缺书面证据。</w:t>
      </w:r>
    </w:p>
    <w:p>
      <w:pPr>
        <w:pStyle w:val="ListBullet"/>
      </w:pPr>
      <w:r>
        <w:t>未提供实际损失数额和具体支付凭证（备用方案费用、招聘成本、外部委托设计费、对外违约金等），无法评估赔偿范围。</w:t>
      </w:r>
    </w:p>
    <w:p>
      <w:pPr>
        <w:pStyle w:val="ListBullet"/>
      </w:pPr>
      <w:r>
        <w:t>补充事实未说明启动备用方案的时点、延误样机与员工离职之间的时间对应、以及延误是否另有成因，因果关系尚需证据支持。</w:t>
      </w:r>
    </w:p>
    <w:p>
      <w:pPr>
        <w:pStyle w:val="ListBullet"/>
      </w:pPr>
      <w:r>
        <w:t>未提供工资标准与发放记录、考勤、社保缴纳、加班安排、押金或扣押证件等事实，故不对欠薪、加班费、社保、收费类问题作风险认定。</w:t>
      </w:r>
    </w:p>
    <w:p>
      <w:pPr>
        <w:pStyle w:val="ListBullet"/>
      </w:pPr>
      <w:r>
        <w:t>摘录事实发生在2020至2022年，未提供任何一方主张权利、申请仲裁或对方同意履行的时间；劳动争议申请仲裁的时效期间为一年，自知道或应当知道权利被侵害之日起计算，并可因主张权利、请求救济或对方同意履行而中断；因缺少上述日期，无法给出时效结论。</w:t>
      </w:r>
    </w:p>
    <w:p>
      <w:pPr>
        <w:pStyle w:val="ListBullet"/>
      </w:pPr>
      <w:r>
        <w:t>本报告基于现行官方条文与个人材料分析，不是法院或仲裁机构的裁判，不构成对任何一方胜诉或赔偿数额的保证。</w:t>
      </w:r>
    </w:p>
    <w:p>
      <w:pPr>
        <w:pStyle w:val="ListBullet"/>
      </w:pPr>
      <w:r>
        <w:t>核查事项（不计为风险）：摘录未提及工资支付、经济补偿、离职证明、档案和社保转移，无法认定单位已履行或未履行；由员工本人提出辞职，一般不产生经济补偿请求权，已提供劳动的工资仍应结清。</w:t>
      </w:r>
    </w:p>
    <w:p>
      <w:pPr>
        <w:pStyle w:val="Heading1"/>
      </w:pPr>
      <w:r>
        <w:t>04  依据与来源</w:t>
      </w:r>
    </w:p>
    <w:p>
      <w:r>
        <w:rPr>
          <w:color w:val="71847D"/>
        </w:rPr>
        <w:t>法条、风险提示、指南及案例分别标注；案例结论只用于个案参考。</w:t>
      </w:r>
    </w:p>
    <w:p>
      <w:pPr>
        <w:pStyle w:val="Heading2"/>
        <w:keepNext/>
      </w:pPr>
      <w:r>
        <w:t>LCL-037  中华人民共和国劳动合同法</w:t>
      </w:r>
    </w:p>
    <w:p>
      <w:pPr>
        <w:keepNext/>
        <w:spacing w:line="288" w:lineRule="auto" w:after="80"/>
      </w:pPr>
      <w:r>
        <w:rPr>
          <w:color w:val="71847D"/>
          <w:sz w:val="19"/>
        </w:rPr>
        <w:t>法律条文 · 第三十七条</w:t>
      </w:r>
    </w:p>
    <w:p>
      <w:pPr>
        <w:keepNext/>
        <w:spacing w:line="288" w:lineRule="auto" w:after="80"/>
      </w:pPr>
      <w:r>
        <w:rPr>
          <w:sz w:val="19"/>
        </w:rPr>
        <w:t>第三十七条　劳动者提前三十日以书面形式通知用人单位，可以解除劳动合同。劳动者在试用期内提前三日通知用人单位，可以解除劳动合同。</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LL-2018-031  中华人民共和国劳动法</w:t>
      </w:r>
    </w:p>
    <w:p>
      <w:pPr>
        <w:keepNext/>
        <w:spacing w:line="288" w:lineRule="auto" w:after="80"/>
      </w:pPr>
      <w:r>
        <w:rPr>
          <w:color w:val="71847D"/>
          <w:sz w:val="19"/>
        </w:rPr>
        <w:t>法律条文 · 第三十一条</w:t>
      </w:r>
    </w:p>
    <w:p>
      <w:pPr>
        <w:keepNext/>
        <w:spacing w:line="288" w:lineRule="auto" w:after="80"/>
      </w:pPr>
      <w:r>
        <w:rPr>
          <w:sz w:val="19"/>
        </w:rPr>
        <w:t>第三十一条</w:t>
      </w:r>
      <w:r>
        <w:rPr>
          <w:sz w:val="19"/>
        </w:rPr>
        <w:br/>
      </w:r>
      <w:r>
        <w:rPr>
          <w:sz w:val="19"/>
        </w:rPr>
        <w:t>劳动者解除劳动合同，应当提前三十日以书面形式通知用人单位。</w:t>
      </w:r>
    </w:p>
    <w:p>
      <w:pPr>
        <w:keepNext/>
        <w:spacing w:line="288" w:lineRule="auto" w:after="80"/>
      </w:pPr>
      <w:r>
        <w:rPr>
          <w:b/>
          <w:sz w:val="19"/>
        </w:rPr>
        <w:t xml:space="preserve">适用边界  </w:t>
      </w:r>
      <w:r>
        <w:rPr>
          <w:sz w:val="19"/>
        </w:rPr>
        <w:t>须结合后续专门法律、行政法规、司法解释及工作地现行规定判断；本条完整原文不等于个案的全部适用依据。劳动合同事项还应结合劳动合同法具体规定。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https://rsj.weihai.gov.cn/art/2018/12/31/art_79306_2674768.html</w:t>
        </w:r>
      </w:hyperlink>
    </w:p>
    <w:p>
      <w:pPr>
        <w:pStyle w:val="Heading2"/>
        <w:keepNext/>
      </w:pPr>
      <w:r>
        <w:t>LCL-090  中华人民共和国劳动合同法</w:t>
      </w:r>
    </w:p>
    <w:p>
      <w:pPr>
        <w:keepNext/>
        <w:spacing w:line="288" w:lineRule="auto" w:after="80"/>
      </w:pPr>
      <w:r>
        <w:rPr>
          <w:color w:val="71847D"/>
          <w:sz w:val="19"/>
        </w:rPr>
        <w:t>法律条文 · 第九十条</w:t>
      </w:r>
    </w:p>
    <w:p>
      <w:pPr>
        <w:keepNext/>
        <w:spacing w:line="288" w:lineRule="auto" w:after="80"/>
      </w:pPr>
      <w:r>
        <w:rPr>
          <w:sz w:val="19"/>
        </w:rPr>
        <w:t>第九十条　劳动者违反本法规定解除劳动合同，或者违反劳动合同中约定的保密义务或者竞业限制，给用人单位造成损失的，应当承担赔偿责任。</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LCL-050  中华人民共和国劳动合同法</w:t>
      </w:r>
    </w:p>
    <w:p>
      <w:pPr>
        <w:keepNext/>
        <w:spacing w:line="288" w:lineRule="auto" w:after="80"/>
      </w:pPr>
      <w:r>
        <w:rPr>
          <w:color w:val="71847D"/>
          <w:sz w:val="19"/>
        </w:rPr>
        <w:t>法律条文 · 第五十条</w:t>
      </w:r>
    </w:p>
    <w:p>
      <w:pPr>
        <w:keepNext/>
        <w:spacing w:line="288" w:lineRule="auto" w:after="80"/>
      </w:pPr>
      <w:r>
        <w:rPr>
          <w:sz w:val="19"/>
        </w:rPr>
        <w:t>第五十条　用人单位应当在解除或者终止劳动合同时出具解除或者终止劳动合同的证明，并在十五日内为劳动者办理档案和社会保险关系转移手续。</w:t>
      </w:r>
      <w:r>
        <w:rPr>
          <w:sz w:val="19"/>
        </w:rPr>
        <w:br/>
      </w:r>
      <w:r>
        <w:rPr>
          <w:sz w:val="19"/>
        </w:rPr>
        <w:t>劳动者应当按照双方约定，办理工作交接。用人单位依照本法有关规定应当向劳动者支付经济补偿的，在办结工作交接时支付。</w:t>
      </w:r>
      <w:r>
        <w:rPr>
          <w:sz w:val="19"/>
        </w:rPr>
        <w:br/>
      </w:r>
      <w:r>
        <w:rPr>
          <w:sz w:val="19"/>
        </w:rPr>
        <w:t>用人单位对已经解除或者终止的劳动合同的文本，至少保存二年备查。</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SUP-L-arbitration-27  中华人民共和国劳动争议调解仲裁法</w:t>
      </w:r>
    </w:p>
    <w:p>
      <w:pPr>
        <w:keepNext/>
        <w:spacing w:line="288" w:lineRule="auto" w:after="80"/>
      </w:pPr>
      <w:r>
        <w:rPr>
          <w:color w:val="71847D"/>
          <w:sz w:val="19"/>
        </w:rPr>
        <w:t>法律条文 · 第二十七条</w:t>
      </w:r>
    </w:p>
    <w:p>
      <w:pPr>
        <w:keepNext/>
        <w:spacing w:line="288" w:lineRule="auto" w:after="80"/>
      </w:pPr>
      <w:r>
        <w:rPr>
          <w:sz w:val="19"/>
        </w:rPr>
        <w:t>第二十七条 劳动争议申请仲裁的时效期间为一年。仲裁时效期间从当事人知道或者应当知道其权利被侵害之日起计算。</w:t>
      </w:r>
      <w:r>
        <w:rPr>
          <w:sz w:val="19"/>
        </w:rPr>
        <w:br/>
      </w:r>
      <w:r>
        <w:rPr>
          <w:sz w:val="19"/>
        </w:rPr>
        <w:t>前款规定的仲裁时效，因当事人一方向对方当事人主张权利，或者向有关部门请求权利救济，或者对方当事人同意履行义务而中断。从中断时起，仲裁时效期间重新计算。</w:t>
      </w:r>
      <w:r>
        <w:rPr>
          <w:sz w:val="19"/>
        </w:rPr>
        <w:br/>
      </w:r>
      <w:r>
        <w:rPr>
          <w:sz w:val="19"/>
        </w:rPr>
        <w:t>因不可抗力或者有其他正当理由，当事人不能在本条第一款规定的仲裁时效期间申请仲裁的，仲裁时效中止。从中止时效的原因消除之日起，仲裁时效期间继续计算。</w:t>
      </w:r>
      <w:r>
        <w:rPr>
          <w:sz w:val="19"/>
        </w:rPr>
        <w:br/>
      </w:r>
      <w:r>
        <w:rPr>
          <w:sz w:val="19"/>
        </w:rPr>
        <w:t>劳动关系存续期间因拖欠劳动报酬发生争议的，劳动者申请仲裁不受本条第一款规定的仲裁时效期间的限制；但是，劳动关系终止的，应当自劳动关系终止之日起一年内提出。</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https://www.beijing.gov.cn/zhengce/zhengcefagui/qtwj/201912/t20191219_1307906.html</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rsj.weihai.gov.cn/art/2018/12/31/art_79306_2674768.html" TargetMode="External"/><Relationship Id="rId15" Type="http://schemas.openxmlformats.org/officeDocument/2006/relationships/hyperlink" Target="https://www.beijing.gov.cn/zhengce/zhengcefagui/qtwj/201912/t20191219_130790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