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真实案例-三天工资异议期</w:t>
      </w:r>
    </w:p>
    <w:p>
      <w:r>
        <w:rPr>
          <w:color w:val="71847D"/>
        </w:rPr>
        <w:t>第 1 版  |  生成时间：2026-10-06 21:32</w:t>
      </w:r>
    </w:p>
    <w:p>
      <w:r>
        <w:rPr>
          <w:color w:val="71847D"/>
        </w:rPr>
        <w:t>本报告依据已提供材料进行风险提示；风险等级不是违法认定或风险概率。</w:t>
      </w:r>
    </w:p>
    <w:p>
      <w:pPr>
        <w:pStyle w:val="Heading1"/>
      </w:pPr>
      <w:r>
        <w:t>01  结论与风险概览</w:t>
      </w:r>
    </w:p>
    <w:p>
      <w:pPr>
        <w:shd w:fill="EDF6F1"/>
      </w:pPr>
      <w:r>
        <w:t>现有摘录显示，劳动合同中约定了“收款或银行进账后三日内应书面提出工资异议，否则视为本月各项劳动报酬已结清且无异议”，并与2022年12月绩效奖金金额争议直接相关。该工资异议期限条款属于需重点核查效力的异常条款；同时，绩效奖金约定为“经考核后发放”，考核结果与扣减依据尚不明确。就请求能否支持，目前仅能提示法律适用路径与需补充的材料，不保证获赔。</w:t>
      </w:r>
    </w:p>
    <w:p>
      <w:r>
        <w:rPr>
          <w:b/>
        </w:rPr>
        <w:t xml:space="preserve">概览依据：  </w:t>
      </w:r>
      <w:r>
        <w:rPr>
          <w:color w:val="71847D"/>
        </w:rPr>
        <w:t>LCL-026、LCL-018、LAB-J1-035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合同约定“三日工资异议期、逾期视为结清无异议”，与2022年12月绩效奖金争议直接相关</w:t>
            </w:r>
          </w:p>
        </w:tc>
        <w:tc>
          <w:tcPr>
            <w:tcW w:type="dxa" w:w="5443"/>
          </w:tcPr>
          <w:p>
            <w:pPr>
              <w:spacing w:line="288" w:lineRule="auto" w:after="140" w:before="140"/>
            </w:pPr>
            <w:r>
              <w:rPr>
                <w:sz w:val="19"/>
              </w:rPr>
              <w:t>保存劳动合同原件或完整复印件，核对条款完整文义、签署页及是否经明确提示。</w:t>
            </w:r>
          </w:p>
        </w:tc>
      </w:tr>
    </w:tbl>
    <w:p>
      <w:r>
        <w:rPr>
          <w:b/>
        </w:rPr>
        <w:t xml:space="preserve">本版修改  </w:t>
      </w:r>
      <w:r>
        <w:t>按报告规则调整：将工资异议期限条款与同一月份绩效奖金争议合并为一项工资权益风险；删除仅有辅助资料支撑的举证责任断言；修正劳动争议司法解释一第三十五条的适用表述，明确其以“达成的协议”为前提，不直接套用于事先条款；将请求条件、时效、合同必备条款核查归入limitations；保留原action及已有事实，未新增未核验事实或依据。</w:t>
      </w:r>
    </w:p>
    <w:p>
      <w:pPr>
        <w:pStyle w:val="Heading1"/>
      </w:pPr>
      <w:r>
        <w:t>02  风险详情</w:t>
      </w:r>
    </w:p>
    <w:p>
      <w:pPr>
        <w:pStyle w:val="Heading2"/>
        <w:keepNext/>
      </w:pPr>
      <w:r>
        <w:rPr>
          <w:color w:val="B78224"/>
        </w:rPr>
        <w:t>01  合同约定“三日工资异议期、逾期视为结清无异议”，与2022年12月绩效奖金争议直接相关  ·  需关注</w:t>
      </w:r>
    </w:p>
    <w:p>
      <w:pPr>
        <w:keepNext/>
        <w:shd w:fill="F3F6F5"/>
      </w:pPr>
      <w:r>
        <w:rPr>
          <w:b/>
        </w:rPr>
        <w:t xml:space="preserve">材料原文  </w:t>
      </w:r>
      <w:r>
        <w:t>合同约定：收款或银行进账后三日内应书面提出工资异议，否则视为本月各项劳动</w:t>
      </w:r>
      <w:r>
        <w:br/>
      </w:r>
      <w:r>
        <w:t>报酬已结清且无异议。</w:t>
      </w:r>
    </w:p>
    <w:p>
      <w:pPr>
        <w:keepNext/>
      </w:pPr>
      <w:r>
        <w:rPr>
          <w:b/>
        </w:rPr>
        <w:t xml:space="preserve">原文位置  </w:t>
      </w:r>
      <w:r>
        <w:rPr>
          <w:color w:val="71847D"/>
        </w:rPr>
        <w:t>salary-objection-初始摘录.pdf · 第1页</w:t>
      </w:r>
    </w:p>
    <w:p>
      <w:pPr>
        <w:keepNext/>
      </w:pPr>
      <w:r>
        <w:rPr>
          <w:b/>
        </w:rPr>
        <w:t xml:space="preserve">风险说明  </w:t>
      </w:r>
      <w:r>
        <w:t>该条款属于事先在劳动合同中约定、以劳动者未在三日极短期限内提出异议为由，将当月“各项劳动报酬”视为已结清且无异议的条款。其与2022年12月绩效奖金金额争议直接相关，故将条款效力与考核、发放依据合并为一个工资权益问题分析。（1）此类由用人单位免除自身法定责任、排除劳动者权利的事先条款，存在被认定无效或部分无效的可能；但对条款是否无效有争议的，应由劳动争议仲裁机构或人民法院确认，并非当然无效。（2）即便按字面适用，也不意味着2022年12月绩效奖金争议自动丧失救济：劳动合同对劳动报酬约定不明确引发争议的，可先行协商，协商不成适用集体合同规定；没有集体合同或者集体合同未规定劳动报酬的，实行同工同酬。（3）该条款不是双方在解除或终止劳动合同时达成的结清协议，劳动争议司法解释一第三十五条关于“达成的协议”效力的规则能否适用于事先预置的异议期条款，尚需个案认定，不能直接套用其撤销条件。（4）条款存在本身不当然导致无法主张该月绩效奖金差额，最终应发数额仍取决于考核方案、考核结果、公示送达情况与实发金额等事实。</w:t>
      </w:r>
    </w:p>
    <w:p>
      <w:pPr>
        <w:keepNext/>
      </w:pPr>
      <w:r>
        <w:rPr>
          <w:b/>
        </w:rPr>
        <w:t xml:space="preserve">分析依据  </w:t>
      </w:r>
      <w:r>
        <w:t>LCL-026 · 中华人民共和国劳动合同法 · 第二十六条</w:t>
      </w:r>
    </w:p>
    <w:p>
      <w:pPr>
        <w:keepNext/>
      </w:pPr>
      <w:r>
        <w:rPr>
          <w:b/>
        </w:rPr>
        <w:t xml:space="preserve">分析依据  </w:t>
      </w:r>
      <w:r>
        <w:t>LCL-018 · 中华人民共和国劳动合同法 · 第十八条</w:t>
      </w:r>
    </w:p>
    <w:p>
      <w:pPr>
        <w:keepNext/>
      </w:pPr>
      <w:r>
        <w:rPr>
          <w:b/>
        </w:rPr>
        <w:t xml:space="preserve">分析依据  </w:t>
      </w:r>
      <w:r>
        <w:t>LAB-J1-035 · 最高人民法院关于审理劳动争议案件适用法律问题的解释（一）第三十五条 · 第三十五条</w:t>
      </w:r>
    </w:p>
    <w:p>
      <w:pPr>
        <w:keepNext/>
      </w:pPr>
      <w:r>
        <w:rPr>
          <w:color w:val="287B65"/>
        </w:rPr>
        <w:t>建议行动</w:t>
      </w:r>
    </w:p>
    <w:p>
      <w:pPr>
        <w:pStyle w:val="ListBullet"/>
        <w:keepNext/>
      </w:pPr>
      <w:r>
        <w:t>保存劳动合同原件或完整复印件，核对条款完整文义、签署页及是否经明确提示。</w:t>
      </w:r>
    </w:p>
    <w:p>
      <w:pPr>
        <w:pStyle w:val="ListBullet"/>
        <w:keepNext/>
      </w:pPr>
      <w:r>
        <w:t>收集2022年绩效管理制度或考核方案、12月考核评分表、考核结果通知、工资条与银行流水。</w:t>
      </w:r>
    </w:p>
    <w:p>
      <w:pPr>
        <w:pStyle w:val="ListBullet"/>
        <w:keepNext/>
      </w:pPr>
      <w:r>
        <w:t>核对是否存在可推翻“视为结清”的事实，如事后就绩效金额提出过异议、公司承诺补发、双方曾协商等，保留书面或聊天记录。</w:t>
      </w:r>
    </w:p>
    <w:p>
      <w:pPr>
        <w:pStyle w:val="ListBullet"/>
        <w:keepNext/>
      </w:pPr>
      <w:r>
        <w:t>计算“应发绩效－实发绩效”的具体差额，明确请求金额。</w:t>
      </w:r>
    </w:p>
    <w:p>
      <w:pPr>
        <w:pStyle w:val="ListBullet"/>
        <w:keepNext w:val="0"/>
      </w:pPr>
      <w:r>
        <w:t>如主张该条款无效，应在仲裁或诉讼中明确提出理由，最终由仲裁机构或法院确认。</w:t>
      </w:r>
    </w:p>
    <w:p>
      <w:pPr>
        <w:pStyle w:val="Heading1"/>
      </w:pPr>
      <w:r>
        <w:t>03  待核实事项与分析局限</w:t>
      </w:r>
    </w:p>
    <w:p>
      <w:pPr>
        <w:pStyle w:val="ListBullet"/>
      </w:pPr>
      <w:r>
        <w:t>材料为“劳动合同公开条款摘录（非原件）”，非合同全文，也未标注真实性核验，其记载内容与原件可能有出入，需以原件为准。</w:t>
      </w:r>
    </w:p>
    <w:p>
      <w:pPr>
        <w:pStyle w:val="ListBullet"/>
      </w:pPr>
      <w:r>
        <w:t>未提供绩效管理制度、2022年12月考核结果、工资条、银行流水和实发金额，无法判断2022年12月绩效奖金应发数额与争议差额，故无法说明该请求能否得到支持。</w:t>
      </w:r>
    </w:p>
    <w:p>
      <w:pPr>
        <w:pStyle w:val="ListBullet"/>
      </w:pPr>
      <w:r>
        <w:t>未说明2023年2月22日劳动合同解除的方式、原因和过程（谁提出、是否协商一致、是否有书面通知），故不对解除性质另作风险分析。</w:t>
      </w:r>
    </w:p>
    <w:p>
      <w:pPr>
        <w:pStyle w:val="ListBullet"/>
      </w:pPr>
      <w:r>
        <w:t>未提供2023年2月22日之后是否申请仲裁、何时主张权利及是否有中断事由的信息，时效是否受影响需核查，本报告不认定时效已过或未过。</w:t>
      </w:r>
    </w:p>
    <w:p>
      <w:pPr>
        <w:pStyle w:val="ListBullet"/>
      </w:pPr>
      <w:r>
        <w:t>材料未涉及社保缴纳、加班工时、培训服务期、试用期约定等事项，故本报告不对上述方面作推断或列举。</w:t>
      </w:r>
    </w:p>
    <w:p>
      <w:pPr>
        <w:pStyle w:val="ListBullet"/>
      </w:pPr>
      <w:r>
        <w:t>本报告仅基于现有摘录作有限分析，不构成法律意见，不预测仲裁或诉讼结果，也不保证获赔；具体请求能否支持应以仲裁机构或法院结合完整证据的认定为准。</w:t>
      </w:r>
    </w:p>
    <w:p>
      <w:pPr>
        <w:pStyle w:val="ListBullet"/>
      </w:pPr>
      <w:r>
        <w:t>核查事项：2022年12月绩效奖金金额争议的请求条件。摘录显示绩效奖金4500元系“经考核后发放”，双方对2022年12月绩效金额有争议，但材料未提供考核方案内容、是否送达劳动者、实际考核结果、实发金额及差额依据。法律处理路径可参考劳动合同法第十八条：劳动报酬约定不明确引发争议的，可协商，协商不成适用集体合同，没有集体合同或集体合同未规定劳动报酬的，实行同工同酬；具体差额仍需以完整事实核定。建议收集考核方案、12月考核评分表、考核结果通知、异议沟通记录、工资条与银行流水，并确认考核方案是否经民主程序制定并公示或送达。</w:t>
      </w:r>
    </w:p>
    <w:p>
      <w:pPr>
        <w:pStyle w:val="ListBullet"/>
      </w:pPr>
      <w:r>
        <w:t>核查事项：仲裁时效。材料只写明2023年2月22日解除劳动合同，未提供此后是否申请过仲裁、何时主张权利、公司是否承诺补发等信息。劳动关系存续期间因拖欠劳动报酬发生争议的，劳动者申请仲裁不受一年时效限制；但劳动关系终止的，应当自劳动关系终止之日起一年内提出。时效还存在因主张权利、请求救济或对方同意履行而中断，以及不可抗力等中止情形。用户明确要求按事发当时分析、不假设现在首次申请仲裁，故本项仅提示核查当年主张与申请的时间点，不认定时效已过或未过。建议梳理2023年2月22日之后是否有向公司提出绩效奖金异议、向有关部门投诉或申请仲裁的记录，并保留书面、聊天或邮寄凭证；如公司曾同意补发，应保留沟通证据。就具体应适用的时效起算与中断、中止情形，建议携带材料咨询当地劳动仲裁机构或法律援助。</w:t>
      </w:r>
    </w:p>
    <w:p>
      <w:pPr>
        <w:pStyle w:val="ListBullet"/>
      </w:pPr>
      <w:r>
        <w:t>核查事项：劳动合同必备条款核查。摘录显示双方签订四年劳动合同，并约定工作内容与劳动报酬构成（基本工资9500元＋绩效奖金4500元），这属于正常事实，未显示异常。劳动合同应当具备用人单位信息、合同期限、工作内容和地点、工作时间和休息休假、劳动报酬、社会保险、劳动保护等必备条款（劳动合同法第十七条）；可据此核对完整合同是否齐备。本项为核查提示，不是风险认定。建议取得并留存完整劳动合同文本，逐项核对必备条款是否齐备，并核对工资构成、发放时间、绩效计算与考核条件的书面表述是否明确。</w:t>
      </w:r>
    </w:p>
    <w:p>
      <w:pPr>
        <w:pStyle w:val="Heading1"/>
      </w:pPr>
      <w:r>
        <w:t>04  依据与来源</w:t>
      </w:r>
    </w:p>
    <w:p>
      <w:r>
        <w:rPr>
          <w:color w:val="71847D"/>
        </w:rPr>
        <w:t>法条、风险提示、指南及案例分别标注；案例结论只用于个案参考。</w:t>
      </w:r>
    </w:p>
    <w:p>
      <w:pPr>
        <w:pStyle w:val="Heading2"/>
        <w:keepNext/>
      </w:pPr>
      <w:r>
        <w:t>LCL-026  中华人民共和国劳动合同法</w:t>
      </w:r>
    </w:p>
    <w:p>
      <w:pPr>
        <w:keepNext/>
        <w:spacing w:line="288" w:lineRule="auto" w:after="80"/>
      </w:pPr>
      <w:r>
        <w:rPr>
          <w:color w:val="71847D"/>
          <w:sz w:val="19"/>
        </w:rPr>
        <w:t>法律条文 · 第二十六条</w:t>
      </w:r>
    </w:p>
    <w:p>
      <w:pPr>
        <w:keepNext/>
        <w:spacing w:line="288" w:lineRule="auto" w:after="80"/>
      </w:pPr>
      <w:r>
        <w:rPr>
          <w:sz w:val="19"/>
        </w:rPr>
        <w:t>第二十六条　下列劳动合同无效或者部分无效：</w:t>
      </w:r>
      <w:r>
        <w:rPr>
          <w:sz w:val="19"/>
        </w:rPr>
        <w:br/>
      </w:r>
      <w:r>
        <w:rPr>
          <w:sz w:val="19"/>
        </w:rPr>
        <w:t>（一）以欺诈、胁迫的手段或者乘人之危，使对方在违背真实意思的情况下订立或者变更劳动合同的；</w:t>
      </w:r>
      <w:r>
        <w:rPr>
          <w:sz w:val="19"/>
        </w:rPr>
        <w:br/>
      </w:r>
      <w:r>
        <w:rPr>
          <w:sz w:val="19"/>
        </w:rPr>
        <w:t>（二）用人单位免除自己的法定责任、排除劳动者权利的；</w:t>
      </w:r>
      <w:r>
        <w:rPr>
          <w:sz w:val="19"/>
        </w:rPr>
        <w:br/>
      </w:r>
      <w:r>
        <w:rPr>
          <w:sz w:val="19"/>
        </w:rPr>
        <w:t>（三）违反法律、行政法规强制性规定的。</w:t>
      </w:r>
      <w:r>
        <w:rPr>
          <w:sz w:val="19"/>
        </w:rPr>
        <w:br/>
      </w:r>
      <w:r>
        <w:rPr>
          <w:sz w:val="19"/>
        </w:rPr>
        <w:t>对劳动合同的无效或者部分无效有争议的，由劳动争议仲裁机构或者人民法院确认。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LCL-018  中华人民共和国劳动合同法</w:t>
      </w:r>
    </w:p>
    <w:p>
      <w:pPr>
        <w:keepNext/>
        <w:spacing w:line="288" w:lineRule="auto" w:after="80"/>
      </w:pPr>
      <w:r>
        <w:rPr>
          <w:color w:val="71847D"/>
          <w:sz w:val="19"/>
        </w:rPr>
        <w:t>法律条文 · 第十八条</w:t>
      </w:r>
    </w:p>
    <w:p>
      <w:pPr>
        <w:keepNext/>
        <w:spacing w:line="288" w:lineRule="auto" w:after="80"/>
      </w:pPr>
      <w:r>
        <w:rPr>
          <w:sz w:val="19"/>
        </w:rPr>
        <w:t>第十八条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LAB-J1-035  最高人民法院关于审理劳动争议案件适用法律问题的解释（一）第三十五条</w:t>
      </w:r>
    </w:p>
    <w:p>
      <w:pPr>
        <w:keepNext/>
        <w:spacing w:line="288" w:lineRule="auto" w:after="80"/>
      </w:pPr>
      <w:r>
        <w:rPr>
          <w:color w:val="71847D"/>
          <w:sz w:val="19"/>
        </w:rPr>
        <w:t>法律条文 · 第三十五条</w:t>
      </w:r>
    </w:p>
    <w:p>
      <w:pPr>
        <w:keepNext/>
        <w:spacing w:line="288" w:lineRule="auto" w:after="80"/>
      </w:pPr>
      <w:r>
        <w:rPr>
          <w:sz w:val="19"/>
        </w:rPr>
        <w:t>第三十五条　劳动者与用人单位就解除或者终止劳动合同办理相关手续、支付工资报酬、加班费、经济补偿或者赔偿金等达成的协议，不违反法律、行政法规的强制性规定，且不存在欺诈、胁迫或者乘人之危情形的，应当认定有效。</w:t>
      </w:r>
      <w:r>
        <w:rPr>
          <w:sz w:val="19"/>
        </w:rPr>
        <w:br/>
      </w:r>
      <w:r>
        <w:rPr>
          <w:sz w:val="19"/>
        </w:rPr>
        <w:t>前款协议存在重大误解或者显失公平情形，当事人请求撤销的，人民法院应予支持。</w:t>
      </w:r>
    </w:p>
    <w:p>
      <w:pPr>
        <w:keepNext/>
        <w:spacing w:line="288" w:lineRule="auto" w:after="80"/>
      </w:pPr>
      <w:r>
        <w:rPr>
          <w:b/>
          <w:sz w:val="19"/>
        </w:rPr>
        <w:t xml:space="preserve">适用边界  </w:t>
      </w:r>
      <w:r>
        <w:rPr>
          <w:sz w:val="19"/>
        </w:rPr>
        <w:t>结清声明先解释约定范围；重大误解、显失公平是请求撤销事由，不混同无效。</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https://www.court.gov.cn/fabu/xiangqing/282121.html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fabu/xiangqing/282121.html" TargetMode="External"/><Relationship Id="rId15" Type="http://schemas.openxmlformats.org/officeDocument/2006/relationships/hyperlink" Target="https://www.beijing.gov.cn/zhengce/zhengcefagui/qtwj/201912/t20191219_1307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