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真实案例-三天工资异议期</w:t>
      </w:r>
    </w:p>
    <w:p>
      <w:r>
        <w:rPr>
          <w:color w:val="71847D"/>
        </w:rPr>
        <w:t>第 2 版  |  生成时间：2026-10-06 21:32</w:t>
      </w:r>
    </w:p>
    <w:p>
      <w:r>
        <w:rPr>
          <w:color w:val="71847D"/>
        </w:rPr>
        <w:t>本报告依据已提供材料进行风险提示；风险等级不是违法认定或风险概率。</w:t>
      </w:r>
    </w:p>
    <w:p>
      <w:pPr>
        <w:pStyle w:val="Heading1"/>
      </w:pPr>
      <w:r>
        <w:t>01  结论与风险概览</w:t>
      </w:r>
    </w:p>
    <w:p>
      <w:pPr>
        <w:shd w:fill="EDF6F1"/>
      </w:pPr>
      <w:r>
        <w:t>现有事实显示，劳动合同预先约定“收款或银行进账后三日内应书面提出工资异议，否则视为本月各项劳动报酬已结清且无异议”，与2022年12月绩效奖金金额争议直接相关；公司现以该条款及“考核未达标但未举证”为由拒付绩效奖金差额。该三日条款能否排除工资请求权，需结合条款效力、举证责任与个案事实判断，不宜直接认定必然排除或必然无效；具体应发数额与请求结果不保证获赔。</w:t>
      </w:r>
    </w:p>
    <w:p>
      <w:r>
        <w:rPr>
          <w:b/>
        </w:rPr>
        <w:t xml:space="preserve">概览依据：  </w:t>
      </w:r>
      <w:r>
        <w:rPr>
          <w:color w:val="71847D"/>
        </w:rPr>
        <w:t>LCL-026、LCL-030、LL-2018-050、LCL-018、LAB-J1-035</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预先约定“三日工资异议期、逾期视为结清无异议”，不能自动排除2022年12月绩效奖金请求权</w:t>
            </w:r>
          </w:p>
        </w:tc>
        <w:tc>
          <w:tcPr>
            <w:tcW w:type="dxa" w:w="5443"/>
          </w:tcPr>
          <w:p>
            <w:pPr>
              <w:spacing w:line="288" w:lineRule="auto" w:after="140" w:before="140"/>
            </w:pPr>
            <w:r>
              <w:rPr>
                <w:sz w:val="19"/>
              </w:rPr>
              <w:t>保存劳动合同原件或完整清晰复印件，核对三日异议期条款的完整文义、签署页及公司是否曾明确提示。</w:t>
            </w:r>
          </w:p>
        </w:tc>
      </w:tr>
    </w:tbl>
    <w:p>
      <w:r>
        <w:rPr>
          <w:b/>
        </w:rPr>
        <w:t xml:space="preserve">本版修改  </w:t>
      </w:r>
      <w:r>
        <w:t>本次为用户补充新事实（公司主张考核未达标但未举证、并以三日未异议为由拒付）后的更新：其一，保留工资异议期限条款与2022年12月绩效奖金争议为同一工资权益风险，并补充公司未就考核未达标举证导致的不利后果；其二，按规则删除原报告中单独列举的“合同必备条款核查”“时效核查”等非风险条目，将时效与请求条件归入limitations；其三，删除仅有辅助资料或个案支撑的举证责任定性，改以劳动合同法第三十条、劳动法第五十条作为报酬支付义务的直接依据；其四，保留劳动争议司法解释一第三十五条以“达成的协议”为前提、不能直接套用于事先条款的限定；其五，未新增材料未体现的事实，未将用户分析指令当作招聘事实。</w:t>
      </w:r>
    </w:p>
    <w:p>
      <w:pPr>
        <w:pStyle w:val="Heading1"/>
      </w:pPr>
      <w:r>
        <w:t>02  风险详情</w:t>
      </w:r>
    </w:p>
    <w:p>
      <w:pPr>
        <w:pStyle w:val="Heading2"/>
        <w:keepNext/>
      </w:pPr>
      <w:r>
        <w:rPr>
          <w:color w:val="B78224"/>
        </w:rPr>
        <w:t>01  预先约定“三日工资异议期、逾期视为结清无异议”，不能自动排除2022年12月绩效奖金请求权  ·  需关注</w:t>
      </w:r>
    </w:p>
    <w:p>
      <w:pPr>
        <w:keepNext/>
        <w:shd w:fill="F3F6F5"/>
      </w:pPr>
      <w:r>
        <w:rPr>
          <w:b/>
        </w:rPr>
        <w:t xml:space="preserve">材料原文  </w:t>
      </w:r>
      <w:r>
        <w:t>合同约定：收款或银行进账后三日内应书面提出工资异议，否则视为本月各项劳动</w:t>
      </w:r>
      <w:r>
        <w:br/>
      </w:r>
      <w:r>
        <w:t>报酬已结清且无异议。</w:t>
      </w:r>
    </w:p>
    <w:p>
      <w:pPr>
        <w:keepNext/>
      </w:pPr>
      <w:r>
        <w:rPr>
          <w:b/>
        </w:rPr>
        <w:t xml:space="preserve">原文位置  </w:t>
      </w:r>
      <w:r>
        <w:rPr>
          <w:color w:val="71847D"/>
        </w:rPr>
        <w:t>salary-objection-初始摘录.pdf · 第1页</w:t>
      </w:r>
    </w:p>
    <w:p>
      <w:pPr>
        <w:keepNext/>
      </w:pPr>
      <w:r>
        <w:rPr>
          <w:b/>
        </w:rPr>
        <w:t xml:space="preserve">风险说明  </w:t>
      </w:r>
      <w:r>
        <w:t>该条款是入职时在劳动合同中预先设置、以劳动者未在收款或银行进账后三日内书面异议为由，将当月“各项劳动报酬”视为已结清且无异议的条款，公司现据此主张无需支付2022年12月绩效奖金差额。（1）该条款属于用人单位以事先约定限制劳动者主张劳动报酬权利，存在被认定无效或部分无效的可能；但对劳动合同的无效或部分无效有争议的，应由劳动争议仲裁机构或人民法院确认，不能由一方自行判断。（2）该条款不同于双方在解除或终止劳动合同时就支付工资报酬等“达成的协议”；劳动争议司法解释一第三十五条以双方“达成的协议”为前提，规定其有效要件以及重大误解、显失公平可请求撤销，不能不加区分地直接套用于入职时预先设置的异议期条款，是否适用尚需个案认定。（3）用人单位应当按照劳动合同约定和国家规定向劳动者及时足额支付劳动报酬，不得克扣或无故拖欠工资；绩效奖金已写入月工资构成（基本工资9500元及绩效奖金4500元，经考核后发放），属于劳动报酬范畴。公司以“考核未达标”为由拒付差额，应对考核标准、考核过程、考核结果及已告知送达劳动者等事实进行举证；公司现未就该主张举证，在事实认定上处于不利地位。（4）若该月绩效金额确实约定不明而引发争议，可先行协商，协商不成适用集体合同规定，没有集体合同或集体合同未规定劳动报酬的，实行同工同酬。综上，该三日条款不当然使工资请求权丧失，也不当然使公司拒付成立，最终取决于条款效力、考核事实与完整证据。</w:t>
      </w:r>
    </w:p>
    <w:p>
      <w:pPr>
        <w:keepNext/>
      </w:pPr>
      <w:r>
        <w:rPr>
          <w:b/>
        </w:rPr>
        <w:t xml:space="preserve">分析依据  </w:t>
      </w:r>
      <w:r>
        <w:t>LCL-026 · 中华人民共和国劳动合同法 · 第二十六条</w:t>
      </w:r>
    </w:p>
    <w:p>
      <w:pPr>
        <w:keepNext/>
      </w:pPr>
      <w:r>
        <w:rPr>
          <w:b/>
        </w:rPr>
        <w:t xml:space="preserve">分析依据  </w:t>
      </w:r>
      <w:r>
        <w:t>LCL-030 · 中华人民共和国劳动合同法 · 第三十条</w:t>
      </w:r>
    </w:p>
    <w:p>
      <w:pPr>
        <w:keepNext/>
      </w:pPr>
      <w:r>
        <w:rPr>
          <w:b/>
        </w:rPr>
        <w:t xml:space="preserve">分析依据  </w:t>
      </w:r>
      <w:r>
        <w:t>LL-2018-050 · 中华人民共和国劳动法 · 第五十条</w:t>
      </w:r>
    </w:p>
    <w:p>
      <w:pPr>
        <w:keepNext/>
      </w:pPr>
      <w:r>
        <w:rPr>
          <w:b/>
        </w:rPr>
        <w:t xml:space="preserve">分析依据  </w:t>
      </w:r>
      <w:r>
        <w:t>LCL-018 · 中华人民共和国劳动合同法 · 第十八条</w:t>
      </w:r>
    </w:p>
    <w:p>
      <w:pPr>
        <w:keepNext/>
      </w:pPr>
      <w:r>
        <w:rPr>
          <w:b/>
        </w:rPr>
        <w:t xml:space="preserve">分析依据  </w:t>
      </w:r>
      <w:r>
        <w:t>LAB-J1-035 · 最高人民法院关于审理劳动争议案件适用法律问题的解释（一）第三十五条 · 第三十五条</w:t>
      </w:r>
    </w:p>
    <w:p>
      <w:pPr>
        <w:keepNext/>
      </w:pPr>
      <w:r>
        <w:rPr>
          <w:color w:val="287B65"/>
        </w:rPr>
        <w:t>建议行动</w:t>
      </w:r>
    </w:p>
    <w:p>
      <w:pPr>
        <w:pStyle w:val="ListBullet"/>
        <w:keepNext/>
      </w:pPr>
      <w:r>
        <w:t>保存劳动合同原件或完整清晰复印件，核对三日异议期条款的完整文义、签署页及公司是否曾明确提示。</w:t>
      </w:r>
    </w:p>
    <w:p>
      <w:pPr>
        <w:pStyle w:val="ListBullet"/>
        <w:keepNext/>
      </w:pPr>
      <w:r>
        <w:t>要求公司提供2022年度绩效管理制度或考核方案、12月考核评分表、考核结果通知，并核对是否经公示或送达；在仲裁或诉讼中明确提出公司未就“考核未达标”举证。</w:t>
      </w:r>
    </w:p>
    <w:p>
      <w:pPr>
        <w:pStyle w:val="ListBullet"/>
        <w:keepNext/>
      </w:pPr>
      <w:r>
        <w:t>收集2022年12月工资条、银行流水、绩效发放明细，计算“应发绩效－实发绩效”的具体差额。</w:t>
      </w:r>
    </w:p>
    <w:p>
      <w:pPr>
        <w:pStyle w:val="ListBullet"/>
        <w:keepNext/>
      </w:pPr>
      <w:r>
        <w:t>核查是否存在可对抗“视为认可”的事实，如曾口头或书面提出异议、公司承诺补发、双方协商记录等，保留书面或聊天记录。</w:t>
      </w:r>
    </w:p>
    <w:p>
      <w:pPr>
        <w:pStyle w:val="ListBullet"/>
        <w:keepNext w:val="0"/>
      </w:pPr>
      <w:r>
        <w:t>主张条款无效时，应在仲裁或诉讼中明确提出具体理由，并同时提出公司未履行考核举证责任的抗辩，最终由仲裁机构或法院认定。</w:t>
      </w:r>
    </w:p>
    <w:p>
      <w:pPr>
        <w:pStyle w:val="Heading1"/>
      </w:pPr>
      <w:r>
        <w:t>03  待核实事项与分析局限</w:t>
      </w:r>
    </w:p>
    <w:p>
      <w:pPr>
        <w:pStyle w:val="ListBullet"/>
      </w:pPr>
      <w:r>
        <w:t>材料为“劳动合同公开条款摘录（非原件）”，非合同全文，也未标注真实性核验，记载内容与原件可能有出入，需以原件为准。</w:t>
      </w:r>
    </w:p>
    <w:p>
      <w:pPr>
        <w:pStyle w:val="ListBullet"/>
      </w:pPr>
      <w:r>
        <w:t>未提供绩效管理制度、2022年12月考核方案与考核结果、工资条、银行流水及实发金额，无法判断2022年12月绩效奖金应发数额与争议差额，故无法说明该请求金额能否得到支持。</w:t>
      </w:r>
    </w:p>
    <w:p>
      <w:pPr>
        <w:pStyle w:val="ListBullet"/>
      </w:pPr>
      <w:r>
        <w:t>公司主张员工2022年12月绩效考核未达标且未举证、并以三日未异议为由拒付，这一事实来自用户补充陈述，无对应书面证据，仲裁或诉讼中仍以双方实际提交的证据和查明事实为准。</w:t>
      </w:r>
    </w:p>
    <w:p>
      <w:pPr>
        <w:pStyle w:val="ListBullet"/>
      </w:pPr>
      <w:r>
        <w:t>未说明2023年2月22日劳动合同解除的方式、原因和过程，故不对解除性质另作风险分析。</w:t>
      </w:r>
    </w:p>
    <w:p>
      <w:pPr>
        <w:pStyle w:val="ListBullet"/>
      </w:pPr>
      <w:r>
        <w:t>未提供2023年2月22日之后是否申请仲裁、何时主张权利及是否有中断事由的信息，也未提供调解或裁判结果；时效是否受影响需核查，本报告不认定时效已过或未过。</w:t>
      </w:r>
    </w:p>
    <w:p>
      <w:pPr>
        <w:pStyle w:val="ListBullet"/>
      </w:pPr>
      <w:r>
        <w:t>三日异议期条款在个案中的最终效力、是否属于用人单位免除法定责任或排除劳动者权利，需由劳动争议仲裁机构或人民法院确认，本报告仅提示主张路径，不预先认定结论。</w:t>
      </w:r>
    </w:p>
    <w:p>
      <w:pPr>
        <w:pStyle w:val="ListBullet"/>
      </w:pPr>
      <w:r>
        <w:t>本报告仅基于现有摘录和用户陈述作有限分析，不构成法律意见，不预测仲裁或诉讼结果，也不保证获赔；具体请求能否支持应以仲裁机构或法院结合完整证据的认定为准。</w:t>
      </w:r>
    </w:p>
    <w:p>
      <w:pPr>
        <w:pStyle w:val="Heading1"/>
      </w:pPr>
      <w:r>
        <w:t>04  依据与来源</w:t>
      </w:r>
    </w:p>
    <w:p>
      <w:r>
        <w:rPr>
          <w:color w:val="71847D"/>
        </w:rPr>
        <w:t>法条、风险提示、指南及案例分别标注；案例结论只用于个案参考。</w:t>
      </w:r>
    </w:p>
    <w:p>
      <w:pPr>
        <w:pStyle w:val="Heading2"/>
        <w:keepNext/>
      </w:pPr>
      <w:r>
        <w:t>LCL-026  中华人民共和国劳动合同法</w:t>
      </w:r>
    </w:p>
    <w:p>
      <w:pPr>
        <w:keepNext/>
        <w:spacing w:line="288" w:lineRule="auto" w:after="80"/>
      </w:pPr>
      <w:r>
        <w:rPr>
          <w:color w:val="71847D"/>
          <w:sz w:val="19"/>
        </w:rPr>
        <w:t>法律条文 · 第二十六条</w:t>
      </w:r>
    </w:p>
    <w:p>
      <w:pPr>
        <w:keepNext/>
        <w:spacing w:line="288" w:lineRule="auto" w:after="80"/>
      </w:pPr>
      <w:r>
        <w:rPr>
          <w:sz w:val="19"/>
        </w:rPr>
        <w:t>第二十六条　下列劳动合同无效或者部分无效：</w:t>
      </w:r>
      <w:r>
        <w:rPr>
          <w:sz w:val="19"/>
        </w:rPr>
        <w:br/>
      </w:r>
      <w:r>
        <w:rPr>
          <w:sz w:val="19"/>
        </w:rPr>
        <w:t>（一）以欺诈、胁迫的手段或者乘人之危，使对方在违背真实意思的情况下订立或者变更劳动合同的；</w:t>
      </w:r>
      <w:r>
        <w:rPr>
          <w:sz w:val="19"/>
        </w:rPr>
        <w:br/>
      </w:r>
      <w:r>
        <w:rPr>
          <w:sz w:val="19"/>
        </w:rPr>
        <w:t>（二）用人单位免除自己的法定责任、排除劳动者权利的；</w:t>
      </w:r>
      <w:r>
        <w:rPr>
          <w:sz w:val="19"/>
        </w:rPr>
        <w:br/>
      </w:r>
      <w:r>
        <w:rPr>
          <w:sz w:val="19"/>
        </w:rPr>
        <w:t>（三）违反法律、行政法规强制性规定的。</w:t>
      </w:r>
      <w:r>
        <w:rPr>
          <w:sz w:val="19"/>
        </w:rPr>
        <w:br/>
      </w:r>
      <w:r>
        <w:rPr>
          <w:sz w:val="19"/>
        </w:rPr>
        <w:t>对劳动合同的无效或者部分无效有争议的，由劳动争议仲裁机构或者人民法院确认。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LCL-030  中华人民共和国劳动合同法</w:t>
      </w:r>
    </w:p>
    <w:p>
      <w:pPr>
        <w:keepNext/>
        <w:spacing w:line="288" w:lineRule="auto" w:after="80"/>
      </w:pPr>
      <w:r>
        <w:rPr>
          <w:color w:val="71847D"/>
          <w:sz w:val="19"/>
        </w:rPr>
        <w:t>法律条文 · 第三十条</w:t>
      </w:r>
    </w:p>
    <w:p>
      <w:pPr>
        <w:keepNext/>
        <w:spacing w:line="288" w:lineRule="auto" w:after="80"/>
      </w:pPr>
      <w:r>
        <w:rPr>
          <w:sz w:val="19"/>
        </w:rPr>
        <w:t>第三十条　用人单位应当按照劳动合同约定和国家规定，向劳动者及时足额支付劳动报酬。</w:t>
      </w:r>
      <w:r>
        <w:rPr>
          <w:sz w:val="19"/>
        </w:rPr>
        <w:br/>
      </w:r>
      <w:r>
        <w:rPr>
          <w:sz w:val="19"/>
        </w:rPr>
        <w:t>用人单位拖欠或者未足额支付劳动报酬的，劳动者可以依法向当地人民法院申请支付令，人民法院应当依法发出支付令。</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LL-2018-050  中华人民共和国劳动法</w:t>
      </w:r>
    </w:p>
    <w:p>
      <w:pPr>
        <w:keepNext/>
        <w:spacing w:line="288" w:lineRule="auto" w:after="80"/>
      </w:pPr>
      <w:r>
        <w:rPr>
          <w:color w:val="71847D"/>
          <w:sz w:val="19"/>
        </w:rPr>
        <w:t>法律条文 · 第五十条</w:t>
      </w:r>
    </w:p>
    <w:p>
      <w:pPr>
        <w:keepNext/>
        <w:spacing w:line="288" w:lineRule="auto" w:after="80"/>
      </w:pPr>
      <w:r>
        <w:rPr>
          <w:sz w:val="19"/>
        </w:rPr>
        <w:t>第五十条</w:t>
      </w:r>
      <w:r>
        <w:rPr>
          <w:sz w:val="19"/>
        </w:rPr>
        <w:br/>
      </w:r>
      <w:r>
        <w:rPr>
          <w:sz w:val="19"/>
        </w:rPr>
        <w:t>工资应当以货币形式按月支付给劳动者本人。不得克扣或者无故拖欠劳动者的工资。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LCL-018  中华人民共和国劳动合同法</w:t>
      </w:r>
    </w:p>
    <w:p>
      <w:pPr>
        <w:keepNext/>
        <w:spacing w:line="288" w:lineRule="auto" w:after="80"/>
      </w:pPr>
      <w:r>
        <w:rPr>
          <w:color w:val="71847D"/>
          <w:sz w:val="19"/>
        </w:rPr>
        <w:t>法律条文 · 第十八条</w:t>
      </w:r>
    </w:p>
    <w:p>
      <w:pPr>
        <w:keepNext/>
        <w:spacing w:line="288" w:lineRule="auto" w:after="80"/>
      </w:pPr>
      <w:r>
        <w:rPr>
          <w:sz w:val="19"/>
        </w:rPr>
        <w:t>第十八条　劳动合同对劳动报酬和劳动条件等标准约定不明确，引发争议的，用人单位与劳动者可以重新协商；协商不成的，适用集体合同规定；没有集体合同或者集体合同未规定劳动报酬的，实行同工同酬；没有集体合同或者集体合同未规定劳动条件等标准的，适用国家有关规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LAB-J1-035  最高人民法院关于审理劳动争议案件适用法律问题的解释（一）第三十五条</w:t>
      </w:r>
    </w:p>
    <w:p>
      <w:pPr>
        <w:keepNext/>
        <w:spacing w:line="288" w:lineRule="auto" w:after="80"/>
      </w:pPr>
      <w:r>
        <w:rPr>
          <w:color w:val="71847D"/>
          <w:sz w:val="19"/>
        </w:rPr>
        <w:t>法律条文 · 第三十五条</w:t>
      </w:r>
    </w:p>
    <w:p>
      <w:pPr>
        <w:keepNext/>
        <w:spacing w:line="288" w:lineRule="auto" w:after="80"/>
      </w:pPr>
      <w:r>
        <w:rPr>
          <w:sz w:val="19"/>
        </w:rPr>
        <w:t>第三十五条　劳动者与用人单位就解除或者终止劳动合同办理相关手续、支付工资报酬、加班费、经济补偿或者赔偿金等达成的协议，不违反法律、行政法规的强制性规定，且不存在欺诈、胁迫或者乘人之危情形的，应当认定有效。</w:t>
      </w:r>
      <w:r>
        <w:rPr>
          <w:sz w:val="19"/>
        </w:rPr>
        <w:br/>
      </w:r>
      <w:r>
        <w:rPr>
          <w:sz w:val="19"/>
        </w:rPr>
        <w:t>前款协议存在重大误解或者显失公平情形，当事人请求撤销的，人民法院应予支持。</w:t>
      </w:r>
    </w:p>
    <w:p>
      <w:pPr>
        <w:keepNext/>
        <w:spacing w:line="288" w:lineRule="auto" w:after="80"/>
      </w:pPr>
      <w:r>
        <w:rPr>
          <w:b/>
          <w:sz w:val="19"/>
        </w:rPr>
        <w:t xml:space="preserve">适用边界  </w:t>
      </w:r>
      <w:r>
        <w:rPr>
          <w:sz w:val="19"/>
        </w:rPr>
        <w:t>结清声明先解释约定范围；重大误解、显失公平是请求撤销事由，不混同无效。</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5">
        <w:r>
          <w:rPr>
            <w:color w:val="287B65"/>
          </w:rPr>
          <w:t>https://www.court.gov.cn/fabu/xiangqing/282121.html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court.gov.cn/fabu/xiangqing/2821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