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真实案例-研发员工离职拒交接</w:t>
      </w:r>
    </w:p>
    <w:p>
      <w:r>
        <w:rPr>
          <w:color w:val="71847D"/>
        </w:rPr>
        <w:t>第 1 版  |  生成时间：2026-10-06 21:33</w:t>
      </w:r>
    </w:p>
    <w:p>
      <w:r>
        <w:rPr>
          <w:color w:val="71847D"/>
        </w:rPr>
        <w:t>本报告依据已提供材料进行风险提示；风险等级不是违法认定或风险概率。</w:t>
      </w:r>
    </w:p>
    <w:p>
      <w:pPr>
        <w:pStyle w:val="Heading1"/>
      </w:pPr>
      <w:r>
        <w:t>01  结论与风险概览</w:t>
      </w:r>
    </w:p>
    <w:p>
      <w:pPr>
        <w:shd w:fill="EDF6F1"/>
      </w:pPr>
      <w:r>
        <w:t>根据现有资料，可以识别两方面风险：一是员工提出辞职后随即离开，是否履行提前三十日书面通知义务不明，因而其离职行为是否违反劳动合同法第三十七条、是否需依第九十条承担赔偿责任尚待核实；二是合同约定离职交接义务，员工又存在拒不交接的具体行为，可能产生损失赔偿责任。上述判断均以实际通知形式、送达时间、单位实际损失及因果关系等条件为前提，本报告不构成违法认定，也不保证任何一方获赔。</w:t>
      </w:r>
    </w:p>
    <w:p>
      <w:r>
        <w:rPr>
          <w:b/>
        </w:rPr>
        <w:t xml:space="preserve">概览依据：  </w:t>
      </w:r>
      <w:r>
        <w:rPr>
          <w:color w:val="71847D"/>
        </w:rPr>
        <w:t>LCL-037、LCL-090、LCL-050</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辞职随即离开而未办理交接，是否违反预告解除义务并需赔偿</w:t>
            </w:r>
          </w:p>
        </w:tc>
        <w:tc>
          <w:tcPr>
            <w:tcW w:type="dxa" w:w="5443"/>
          </w:tcPr>
          <w:p>
            <w:pPr>
              <w:spacing w:line="288" w:lineRule="auto" w:after="140" w:before="140"/>
            </w:pPr>
            <w:r>
              <w:rPr>
                <w:sz w:val="19"/>
              </w:rPr>
              <w:t>核实辞职是否以书面形式提出、是否在离职前三十日送达，保留通知文本与送达记录。</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拒不办理工作交接、交还工具与技术资料，可能引发损失赔偿</w:t>
            </w:r>
          </w:p>
        </w:tc>
        <w:tc>
          <w:tcPr>
            <w:tcW w:type="dxa" w:w="5443"/>
          </w:tcPr>
          <w:p>
            <w:pPr>
              <w:spacing w:line="288" w:lineRule="auto" w:after="140" w:before="140"/>
            </w:pPr>
            <w:r>
              <w:rPr>
                <w:sz w:val="19"/>
              </w:rPr>
              <w:t>员工方应尽快以书面方式提出交接清单并留存交接记录，避免损失继续扩大。</w:t>
            </w:r>
          </w:p>
        </w:tc>
      </w:tr>
    </w:tbl>
    <w:p>
      <w:r>
        <w:rPr>
          <w:b/>
        </w:rPr>
        <w:t xml:space="preserve">本版修改  </w:t>
      </w:r>
      <w:r>
        <w:t>首次生成报告；根据材料仅保留因辞职随即离开未办理交接和拒不交接两项风险；删除原草稿中与本案材料无关的培训、贷款、试用期、竞业限制案例等内容；将条件性核查和材料缺口统一归入限制事项；法条对应调整：员工辞职通知义务对应劳动合同法第三十七条，交接义务对应第五十条，赔偿责任对应第九十条，劳动合同必备条款对应第十七条。</w:t>
      </w:r>
    </w:p>
    <w:p>
      <w:pPr>
        <w:pStyle w:val="Heading1"/>
      </w:pPr>
      <w:r>
        <w:t>02  风险详情</w:t>
      </w:r>
    </w:p>
    <w:p>
      <w:pPr>
        <w:pStyle w:val="Heading2"/>
        <w:keepNext/>
      </w:pPr>
      <w:r>
        <w:rPr>
          <w:color w:val="B78224"/>
        </w:rPr>
        <w:t>01  辞职随即离开而未办理交接，是否违反预告解除义务并需赔偿  ·  需关注</w:t>
      </w:r>
    </w:p>
    <w:p>
      <w:pPr>
        <w:keepNext/>
        <w:shd w:fill="F3F6F5"/>
      </w:pPr>
      <w:r>
        <w:rPr>
          <w:b/>
        </w:rPr>
        <w:t xml:space="preserve">材料原文  </w:t>
      </w:r>
      <w:r>
        <w:t>2022年2月15日，员工提出辞职，随即离开且拒不办理工作交接。</w:t>
      </w:r>
    </w:p>
    <w:p>
      <w:pPr>
        <w:keepNext/>
      </w:pPr>
      <w:r>
        <w:rPr>
          <w:b/>
        </w:rPr>
        <w:t xml:space="preserve">原文位置  </w:t>
      </w:r>
      <w:r>
        <w:rPr>
          <w:color w:val="71847D"/>
        </w:rPr>
        <w:t>输入文字.txt · 第1页</w:t>
      </w:r>
    </w:p>
    <w:p>
      <w:pPr>
        <w:keepNext/>
      </w:pPr>
      <w:r>
        <w:rPr>
          <w:b/>
        </w:rPr>
        <w:t xml:space="preserve">风险说明  </w:t>
      </w:r>
      <w:r>
        <w:t>材料记载员工2022年2月15日提出辞职后随即离开，但未说明是否提前三十日以书面形式通知、是否处于试用期，也未说明通知的送达时间。劳动合同法第三十七条规定劳动者解除劳动合同应提前三十日书面通知，试用期内提前三日通知。若实际未履行预告义务，则属于违反本法规定解除劳动合同，按第九十条需对单位因此产生的损失承担赔偿责任；但赔偿以单位能证明实际损失及因果关系为前提，不是辞职本身即等于要赔，也不当然等于单位主张的全部费用均须赔偿。是否违法解除、赔偿多少，均需结合通知形式、送达时间和单位损失证据进一步核实。</w:t>
      </w:r>
    </w:p>
    <w:p>
      <w:pPr>
        <w:keepNext/>
      </w:pPr>
      <w:r>
        <w:rPr>
          <w:b/>
        </w:rPr>
        <w:t xml:space="preserve">分析依据  </w:t>
      </w:r>
      <w:r>
        <w:t>LCL-037 · 中华人民共和国劳动合同法 · 第三十七条</w:t>
      </w:r>
    </w:p>
    <w:p>
      <w:pPr>
        <w:keepNext/>
      </w:pPr>
      <w:r>
        <w:rPr>
          <w:b/>
        </w:rPr>
        <w:t xml:space="preserve">分析依据  </w:t>
      </w:r>
      <w:r>
        <w:t>LCL-090 · 中华人民共和国劳动合同法 · 第九十条</w:t>
      </w:r>
    </w:p>
    <w:p>
      <w:pPr>
        <w:keepNext/>
      </w:pPr>
      <w:r>
        <w:rPr>
          <w:color w:val="287B65"/>
        </w:rPr>
        <w:t>建议行动</w:t>
      </w:r>
    </w:p>
    <w:p>
      <w:pPr>
        <w:pStyle w:val="ListBullet"/>
        <w:keepNext/>
      </w:pPr>
      <w:r>
        <w:t>核实辞职是否以书面形式提出、是否在离职前三十日送达，保留通知文本与送达记录。</w:t>
      </w:r>
    </w:p>
    <w:p>
      <w:pPr>
        <w:pStyle w:val="ListBullet"/>
        <w:keepNext/>
      </w:pPr>
      <w:r>
        <w:t>单位方应梳理因突然离职直接导致的岗位空缺、招聘替代、项目延误等具体损失证据，而非仅主张损失数额。</w:t>
      </w:r>
    </w:p>
    <w:p>
      <w:pPr>
        <w:pStyle w:val="ListBullet"/>
        <w:keepNext w:val="0"/>
      </w:pPr>
      <w:r>
        <w:t>员工方若已履行提前通知义务，应准备书面通知及送达凭证以抗辩。</w:t>
      </w:r>
    </w:p>
    <w:p>
      <w:pPr>
        <w:pStyle w:val="Heading2"/>
        <w:keepNext/>
      </w:pPr>
      <w:r>
        <w:rPr>
          <w:color w:val="B78224"/>
        </w:rPr>
        <w:t>02  拒不办理工作交接、交还工具与技术资料，可能引发损失赔偿  ·  需关注</w:t>
      </w:r>
    </w:p>
    <w:p>
      <w:pPr>
        <w:keepNext/>
        <w:shd w:fill="F3F6F5"/>
      </w:pPr>
      <w:r>
        <w:rPr>
          <w:b/>
        </w:rPr>
        <w:t xml:space="preserve">材料原文  </w:t>
      </w:r>
      <w:r>
        <w:t>合同约定：离职应办理工作交接手续，交还工具、技术资料，造成损失据实赔偿。</w:t>
      </w:r>
    </w:p>
    <w:p>
      <w:pPr>
        <w:keepNext/>
      </w:pPr>
      <w:r>
        <w:rPr>
          <w:b/>
        </w:rPr>
        <w:t xml:space="preserve">原文位置  </w:t>
      </w:r>
      <w:r>
        <w:rPr>
          <w:color w:val="71847D"/>
        </w:rPr>
        <w:t>输入文字.txt · 第1页</w:t>
      </w:r>
    </w:p>
    <w:p>
      <w:pPr>
        <w:keepNext/>
      </w:pPr>
      <w:r>
        <w:rPr>
          <w:b/>
        </w:rPr>
        <w:t xml:space="preserve">风险说明  </w:t>
      </w:r>
      <w:r>
        <w:t>合同明确约定离职应办理工作交接、交还工具与技术资料、造成损失据实赔偿，材料又记载员工拒不办理工作交接，两个事实相互印证。劳动合同法第五十条规定劳动者应当按照双方约定办理工作交接，因此拒不移交本身违反约定义务。但需注意：一是“据实赔偿”能否直接兑现，取决于单位能否证明其因未交接实际产生了可量化损失（如工具资料灭失、数据重制成本等）；二是该约定不能扩张为对任何违反劳动合同约定都要求赔偿，赔偿责任仍应结合具体损失与因果关系认定。</w:t>
      </w:r>
    </w:p>
    <w:p>
      <w:pPr>
        <w:keepNext/>
      </w:pPr>
      <w:r>
        <w:rPr>
          <w:b/>
        </w:rPr>
        <w:t xml:space="preserve">分析依据  </w:t>
      </w:r>
      <w:r>
        <w:t>LCL-050 · 中华人民共和国劳动合同法 · 第五十条</w:t>
      </w:r>
    </w:p>
    <w:p>
      <w:pPr>
        <w:keepNext/>
      </w:pPr>
      <w:r>
        <w:rPr>
          <w:b/>
        </w:rPr>
        <w:t xml:space="preserve">分析依据  </w:t>
      </w:r>
      <w:r>
        <w:t>LCL-090 · 中华人民共和国劳动合同法 · 第九十条</w:t>
      </w:r>
    </w:p>
    <w:p>
      <w:pPr>
        <w:keepNext/>
      </w:pPr>
      <w:r>
        <w:rPr>
          <w:color w:val="287B65"/>
        </w:rPr>
        <w:t>建议行动</w:t>
      </w:r>
    </w:p>
    <w:p>
      <w:pPr>
        <w:pStyle w:val="ListBullet"/>
        <w:keepNext/>
      </w:pPr>
      <w:r>
        <w:t>员工方应尽快以书面方式提出交接清单并留存交接记录，避免损失继续扩大。</w:t>
      </w:r>
    </w:p>
    <w:p>
      <w:pPr>
        <w:pStyle w:val="ListBullet"/>
        <w:keepNext/>
      </w:pPr>
      <w:r>
        <w:t>单位方应列明未交还的工具、资料清单及其价值或重置成本，形成可举证的损失凭据。</w:t>
      </w:r>
    </w:p>
    <w:p>
      <w:pPr>
        <w:pStyle w:val="ListBullet"/>
        <w:keepNext w:val="0"/>
      </w:pPr>
      <w:r>
        <w:t>区分未交接本身与因未交接造成的损失，不要把未交接直接等同于全额赔偿。</w:t>
      </w:r>
    </w:p>
    <w:p>
      <w:pPr>
        <w:pStyle w:val="Heading1"/>
      </w:pPr>
      <w:r>
        <w:t>03  待核实事项与分析局限</w:t>
      </w:r>
    </w:p>
    <w:p>
      <w:pPr>
        <w:pStyle w:val="ListBullet"/>
      </w:pPr>
      <w:r>
        <w:t>材料为公开摘录（非原件），未提供合同完整文本、签字页、附件及任何保密或竞业限制文件，结论可能随原件内容变化。</w:t>
      </w:r>
    </w:p>
    <w:p>
      <w:pPr>
        <w:pStyle w:val="ListBullet"/>
      </w:pPr>
      <w:r>
        <w:t>未提供员工辞职通知的形式、送达时间及是否处于试用期，无法确定是否违反第三十七条的预告义务。</w:t>
      </w:r>
    </w:p>
    <w:p>
      <w:pPr>
        <w:pStyle w:val="ListBullet"/>
      </w:pPr>
      <w:r>
        <w:t>未提供单位主张的具体损失项目、金额及证据（如工具资料价值、项目影响），无法评估第九十条赔偿是否成立及大致范围。</w:t>
      </w:r>
    </w:p>
    <w:p>
      <w:pPr>
        <w:pStyle w:val="ListBullet"/>
      </w:pPr>
      <w:r>
        <w:t>未提供工资支付、考勤、社保缴纳记录，无法评估是否存在其他劳动报酬或社保争议。</w:t>
      </w:r>
    </w:p>
    <w:p>
      <w:pPr>
        <w:pStyle w:val="ListBullet"/>
      </w:pPr>
      <w:r>
        <w:t>本报告为基于现有文字的初步风险梳理，不构成裁判结论，也不保证任何一方胜诉或获赔；实际处理需结合完整合同、客观证据及当年适用的法律规定。</w:t>
      </w:r>
    </w:p>
    <w:p>
      <w:pPr>
        <w:pStyle w:val="ListBullet"/>
      </w:pPr>
      <w:r>
        <w:t>提取文本标注 extraction_verified 为 false，存在识别或摘录不完整可能，建议以原始文件核对。</w:t>
      </w:r>
    </w:p>
    <w:p>
      <w:pPr>
        <w:pStyle w:val="ListBullet"/>
      </w:pPr>
      <w:r>
        <w:t>材料未显示合同是否含保密条款、竞业限制条款及其范围、地域、期限、补偿安排；研发岗位客观上可能接触商业秘密或技术秘密，若主张竞业限制，需核查员工是否属于劳动合同法第二十四条规定的适格主体以及是否实际知悉、接触保密事项，不能仅凭研发岗头衔直接认定有效。</w:t>
      </w:r>
    </w:p>
    <w:p>
      <w:pPr>
        <w:pStyle w:val="ListBullet"/>
      </w:pPr>
      <w:r>
        <w:t>材料未列明工资、工作时间、社保等必备条款，无法评估其他权益争议；劳动合同法第十七条将劳动报酬、工作时间、休息休假、社会保险等列为劳动合同必备条款，如需主张相关争议，应补充工资支付记录、考勤记录等。</w:t>
      </w:r>
    </w:p>
    <w:p>
      <w:pPr>
        <w:pStyle w:val="ListBullet"/>
      </w:pPr>
      <w:r>
        <w:t>本报告未使用与本案输入事实无关的培训贷、招转培、试用期、竞业限制案例等材料，相关规则不适用于当前材料所述事实。</w:t>
      </w:r>
    </w:p>
    <w:p>
      <w:pPr>
        <w:pStyle w:val="Heading1"/>
      </w:pPr>
      <w:r>
        <w:t>04  依据与来源</w:t>
      </w:r>
    </w:p>
    <w:p>
      <w:r>
        <w:rPr>
          <w:color w:val="71847D"/>
        </w:rPr>
        <w:t>法条、风险提示、指南及案例分别标注；案例结论只用于个案参考。</w:t>
      </w:r>
    </w:p>
    <w:p>
      <w:pPr>
        <w:pStyle w:val="Heading2"/>
        <w:keepNext/>
      </w:pPr>
      <w:r>
        <w:t>LCL-037  中华人民共和国劳动合同法</w:t>
      </w:r>
    </w:p>
    <w:p>
      <w:pPr>
        <w:keepNext/>
        <w:spacing w:line="288" w:lineRule="auto" w:after="80"/>
      </w:pPr>
      <w:r>
        <w:rPr>
          <w:color w:val="71847D"/>
          <w:sz w:val="19"/>
        </w:rPr>
        <w:t>法律条文 · 第三十七条</w:t>
      </w:r>
    </w:p>
    <w:p>
      <w:pPr>
        <w:keepNext/>
        <w:spacing w:line="288" w:lineRule="auto" w:after="80"/>
      </w:pPr>
      <w:r>
        <w:rPr>
          <w:sz w:val="19"/>
        </w:rPr>
        <w:t>第三十七条　劳动者提前三十日以书面形式通知用人单位，可以解除劳动合同。劳动者在试用期内提前三日通知用人单位，可以解除劳动合同。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LCL-090  中华人民共和国劳动合同法</w:t>
      </w:r>
    </w:p>
    <w:p>
      <w:pPr>
        <w:keepNext/>
        <w:spacing w:line="288" w:lineRule="auto" w:after="80"/>
      </w:pPr>
      <w:r>
        <w:rPr>
          <w:color w:val="71847D"/>
          <w:sz w:val="19"/>
        </w:rPr>
        <w:t>法律条文 · 第九十条</w:t>
      </w:r>
    </w:p>
    <w:p>
      <w:pPr>
        <w:keepNext/>
        <w:spacing w:line="288" w:lineRule="auto" w:after="80"/>
      </w:pPr>
      <w:r>
        <w:rPr>
          <w:sz w:val="19"/>
        </w:rPr>
        <w:t>第九十条　劳动者违反本法规定解除劳动合同，或者违反劳动合同中约定的保密义务或者竞业限制，给用人单位造成损失的，应当承担赔偿责任。</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LCL-050  中华人民共和国劳动合同法</w:t>
      </w:r>
    </w:p>
    <w:p>
      <w:pPr>
        <w:keepNext/>
        <w:spacing w:line="288" w:lineRule="auto" w:after="80"/>
      </w:pPr>
      <w:r>
        <w:rPr>
          <w:color w:val="71847D"/>
          <w:sz w:val="19"/>
        </w:rPr>
        <w:t>法律条文 · 第五十条</w:t>
      </w:r>
    </w:p>
    <w:p>
      <w:pPr>
        <w:keepNext/>
        <w:spacing w:line="288" w:lineRule="auto" w:after="80"/>
      </w:pPr>
      <w:r>
        <w:rPr>
          <w:sz w:val="19"/>
        </w:rPr>
        <w:t>第五十条　用人单位应当在解除或者终止劳动合同时出具解除或者终止劳动合同的证明，并在十五日内为劳动者办理档案和社会保险关系转移手续。</w:t>
      </w:r>
      <w:r>
        <w:rPr>
          <w:sz w:val="19"/>
        </w:rPr>
        <w:br/>
      </w:r>
      <w:r>
        <w:rPr>
          <w:sz w:val="19"/>
        </w:rPr>
        <w:t>劳动者应当按照双方约定，办理工作交接。用人单位依照本法有关规定应当向劳动者支付经济补偿的，在办结工作交接时支付。</w:t>
      </w:r>
      <w:r>
        <w:rPr>
          <w:sz w:val="19"/>
        </w:rPr>
        <w:br/>
      </w:r>
      <w:r>
        <w:rPr>
          <w:sz w:val="19"/>
        </w:rPr>
        <w:t>用人单位对已经解除或者终止的劳动合同的文本，至少保存二年备查。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