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2 版  |  生成时间：2026-10-06 21:33</w:t>
      </w:r>
    </w:p>
    <w:p>
      <w:r>
        <w:rPr>
          <w:color w:val="71847D"/>
        </w:rPr>
        <w:t>本报告依据已提供材料进行风险提示；风险等级不是违法认定或风险概率。</w:t>
      </w:r>
    </w:p>
    <w:p>
      <w:pPr>
        <w:pStyle w:val="Heading1"/>
      </w:pPr>
      <w:r>
        <w:t>01  结论与风险概览</w:t>
      </w:r>
    </w:p>
    <w:p>
      <w:pPr>
        <w:shd w:fill="EDF6F1"/>
      </w:pPr>
      <w:r>
        <w:t>补充事实后，员工离职方式已明确为未提前三十日通知即自行离职，可能违反劳动合同法第三十七条的预告解除程序，并落入第九十条“违反本法规定解除劳动合同”的赔偿责任范围。单位已因该离职启动备用方案、另招聘人员、委托设计补救研发项目，并因研发设计进度延误、迟延交付样机而承担违约责任，可作为因果关系与实际损失的论据，但尚无实际损失数额和支付凭证，赔偿是否成立及范围仍需核实。另外，员工拒不办理工作交接、交还工具与技术资料，违反劳动合同法第五十条的交接义务及合同约定；该项赔偿同样以实际损失与因果关系为前提，第九十条不扩张为任何合同违约均须赔偿。本报告不构成裁判结论，也不预设赔偿金额。</w:t>
      </w:r>
    </w:p>
    <w:p>
      <w:r>
        <w:rPr>
          <w:b/>
        </w:rPr>
        <w:t xml:space="preserve">概览依据：  </w:t>
      </w:r>
      <w:r>
        <w:rPr>
          <w:color w:val="71847D"/>
        </w:rPr>
        <w:t>LCL-037、LCL-090、LCL-050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未提前三十日通知即自行离职，可能构成违反法定解除程序并承担赔偿责任</w:t>
            </w:r>
          </w:p>
        </w:tc>
        <w:tc>
          <w:tcPr>
            <w:tcW w:type="dxa" w:w="5443"/>
          </w:tcPr>
          <w:p>
            <w:pPr>
              <w:spacing w:line="288" w:lineRule="auto" w:after="140" w:before="140"/>
            </w:pPr>
            <w:r>
              <w:rPr>
                <w:sz w:val="19"/>
              </w:rPr>
              <w:t>用工方应固定员工未提前通知的证据，如离职时间、在岗记录、接收通知情况（如有），并与其主张的损失逐项对应。</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单位已因突然离职产生补位与补救成本，但损失数额尚待凭证支撑</w:t>
            </w:r>
          </w:p>
        </w:tc>
        <w:tc>
          <w:tcPr>
            <w:tcW w:type="dxa" w:w="5443"/>
          </w:tcPr>
          <w:p>
            <w:pPr>
              <w:spacing w:line="288" w:lineRule="auto" w:after="140" w:before="140"/>
            </w:pPr>
            <w:r>
              <w:rPr>
                <w:sz w:val="19"/>
              </w:rPr>
              <w:t>整理三类损失的原始凭证：另行招聘的费用、委托外部设计补救的费用、对客户或合作方实际承担的违约赔偿，并标注金额与发生时间。</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拒不办理工作交接、交还工具与技术资料，可能引发独立的赔偿责任</w:t>
            </w:r>
          </w:p>
        </w:tc>
        <w:tc>
          <w:tcPr>
            <w:tcW w:type="dxa" w:w="5443"/>
          </w:tcPr>
          <w:p>
            <w:pPr>
              <w:spacing w:line="288" w:lineRule="auto" w:after="140" w:before="140"/>
            </w:pPr>
            <w:r>
              <w:rPr>
                <w:sz w:val="19"/>
              </w:rPr>
              <w:t>用工方应列明未交还的工具、技术资料清单及其价值或重置成本，并与补位、补救支出区分，避免重复计算。</w:t>
            </w:r>
          </w:p>
        </w:tc>
      </w:tr>
    </w:tbl>
    <w:p>
      <w:r>
        <w:rPr>
          <w:b/>
        </w:rPr>
        <w:t xml:space="preserve">本版修改  </w:t>
      </w:r>
      <w:r>
        <w:t>根据用户补充的事实更新：一是将原“是否提前三十日通知不明”更新为“未提前三十日通知即自行离职”这一明确异常行为，相应调整风险说明与核查建议；二是新增一项针对单位实际发生的补位与补救成本及承担的违约责任的分析，作为第九十条赔偿的事实与因果论据，同时指出损失数额与凭证缺失；三是保留拒不办理交接的赔偿风险，并明确第九十条不扩张为任何违约均赔偿；四是维持不预设赔偿金额，将损失数额、凭证、竞业限制与时效等缺口列入限制事项。</w:t>
      </w:r>
    </w:p>
    <w:p>
      <w:pPr>
        <w:pStyle w:val="Heading1"/>
      </w:pPr>
      <w:r>
        <w:t>02  风险详情</w:t>
      </w:r>
    </w:p>
    <w:p>
      <w:pPr>
        <w:pStyle w:val="Heading2"/>
        <w:keepNext/>
      </w:pPr>
      <w:r>
        <w:rPr>
          <w:color w:val="B78224"/>
        </w:rPr>
        <w:t>01  未提前三十日通知即自行离职，可能构成违反法定解除程序并承担赔偿责任  ·  需关注</w:t>
      </w:r>
    </w:p>
    <w:p>
      <w:pPr>
        <w:keepNext/>
        <w:shd w:fill="F3F6F5"/>
      </w:pPr>
      <w:r>
        <w:rPr>
          <w:b/>
        </w:rPr>
        <w:t xml:space="preserve">材料原文  </w:t>
      </w:r>
      <w:r>
        <w:t>员工未提前三十日通知即自行离职。</w:t>
      </w:r>
    </w:p>
    <w:p>
      <w:pPr>
        <w:keepNext/>
      </w:pPr>
      <w:r>
        <w:rPr>
          <w:b/>
        </w:rPr>
        <w:t xml:space="preserve">原文位置  </w:t>
      </w:r>
      <w:r>
        <w:rPr>
          <w:color w:val="71847D"/>
        </w:rPr>
        <w:t>用户补充说明</w:t>
      </w:r>
    </w:p>
    <w:p>
      <w:pPr>
        <w:keepNext/>
      </w:pPr>
      <w:r>
        <w:rPr>
          <w:b/>
        </w:rPr>
        <w:t xml:space="preserve">风险说明  </w:t>
      </w:r>
      <w:r>
        <w:t>原先“是否履行提前通知义务不明”的状态，已因补充事实而明确：员工未提前三十日通知即自行离职，不符合劳动合同法第三十七条关于提前三十日以书面形式通知的预告要求（现有事实未提试用期，按已过试用期理解）。据此其解除行为可能被认定为第九十条所称“违反本法规定解除劳动合同”，用人单位因此产生的损失可请求赔偿。但第九十条的责任以“给用人单位造成损失”为要件，须由单位举证损失的存在、数额及与员工离职之间的因果关系；员工是否实际部分履行通知、单位是否及时安排替代等，也会影响责任有无与大小。</w:t>
      </w:r>
    </w:p>
    <w:p>
      <w:pPr>
        <w:keepNext/>
      </w:pPr>
      <w:r>
        <w:rPr>
          <w:b/>
        </w:rPr>
        <w:t xml:space="preserve">分析依据  </w:t>
      </w:r>
      <w:r>
        <w:t>LCL-037 · 中华人民共和国劳动合同法 · 第三十七条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用工方应固定员工未提前通知的证据，如离职时间、在岗记录、接收通知情况（如有），并与其主张的损失逐项对应。</w:t>
      </w:r>
    </w:p>
    <w:p>
      <w:pPr>
        <w:pStyle w:val="ListBullet"/>
        <w:keepNext/>
      </w:pPr>
      <w:r>
        <w:t>员工方如存在口头告知、交接意愿或单位已经知悉等情形，应保留相关聊天、邮件或证人线索，用于抗辩因果关系与损失范围。</w:t>
      </w:r>
    </w:p>
    <w:p>
      <w:pPr>
        <w:pStyle w:val="ListBullet"/>
        <w:keepNext w:val="0"/>
      </w:pPr>
      <w:r>
        <w:t>双方均应避免把“未提前三十日通知”本身直接等同于确定的赔偿金额；先核实损失是否真实发生、是否由该离职直接导致。</w:t>
      </w:r>
    </w:p>
    <w:p>
      <w:pPr>
        <w:pStyle w:val="Heading2"/>
        <w:keepNext/>
      </w:pPr>
      <w:r>
        <w:rPr>
          <w:color w:val="B78224"/>
        </w:rPr>
        <w:t>02  单位已因突然离职产生补位与补救成本，但损失数额尚待凭证支撑  ·  需关注</w:t>
      </w:r>
    </w:p>
    <w:p>
      <w:pPr>
        <w:keepNext/>
        <w:shd w:fill="F3F6F5"/>
      </w:pPr>
      <w:r>
        <w:rPr>
          <w:b/>
        </w:rPr>
        <w:t xml:space="preserve">材料原文  </w:t>
      </w:r>
      <w:r>
        <w:t>补充公开事实：公司启动备用方案、招聘人员并委托设计补救研发项目；研发设计进度延误，迟延交付样机，公司承担了违约责任。</w:t>
      </w:r>
    </w:p>
    <w:p>
      <w:pPr>
        <w:keepNext/>
      </w:pPr>
      <w:r>
        <w:rPr>
          <w:b/>
        </w:rPr>
        <w:t xml:space="preserve">原文位置  </w:t>
      </w:r>
      <w:r>
        <w:rPr>
          <w:color w:val="71847D"/>
        </w:rPr>
        <w:t>用户补充说明</w:t>
      </w:r>
    </w:p>
    <w:p>
      <w:pPr>
        <w:keepNext/>
      </w:pPr>
      <w:r>
        <w:rPr>
          <w:b/>
        </w:rPr>
        <w:t xml:space="preserve">风险说明  </w:t>
      </w:r>
      <w:r>
        <w:t>补充事实说明单位采取了备用方案、另招聘人员、委托设计补救研发项目，并因研发设计进度延误、迟延交付样机而承担了违约责任。这些属于与员工突然离职可能存在因果关联的实际支出与责任，是主张第九十条赔偿时较有价值的事实基础，说明并非仅有“岗位空缺”的抽象主张。但材料尚未提供实际损失数额和具体支付凭证，替代方案的支出中有多少属于本来也要发生的成本、招聘与委托设计费用是否合理、样机迟延的违约赔偿是否确由该员工离职直接导致，都需进一步核实；本报告不预设赔偿金额。</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整理三类损失的原始凭证：另行招聘的费用、委托外部设计补救的费用、对客户或合作方实际承担的违约赔偿，并标注金额与发生时间。</w:t>
      </w:r>
    </w:p>
    <w:p>
      <w:pPr>
        <w:pStyle w:val="ListBullet"/>
        <w:keepNext/>
      </w:pPr>
      <w:r>
        <w:t>对每一项损失说明“若无该员工突然离职是否仍会支出”，用以支撑因果关系，避免把正常经营成本计入索赔。</w:t>
      </w:r>
    </w:p>
    <w:p>
      <w:pPr>
        <w:pStyle w:val="ListBullet"/>
        <w:keepNext w:val="0"/>
      </w:pPr>
      <w:r>
        <w:t>员工方可要求单位说明损失的计算口径与凭据，对无法以凭证支撑或与离职无因果关系的主张提出异议。</w:t>
      </w:r>
    </w:p>
    <w:p>
      <w:pPr>
        <w:pStyle w:val="Heading2"/>
        <w:keepNext/>
      </w:pPr>
      <w:r>
        <w:rPr>
          <w:color w:val="B78224"/>
        </w:rPr>
        <w:t>03  拒不办理工作交接、交还工具与技术资料，可能引发独立的赔偿责任  ·  需关注</w:t>
      </w:r>
    </w:p>
    <w:p>
      <w:pPr>
        <w:keepNext/>
        <w:shd w:fill="F3F6F5"/>
      </w:pPr>
      <w:r>
        <w:rPr>
          <w:b/>
        </w:rPr>
        <w:t xml:space="preserve">材料原文  </w:t>
      </w:r>
      <w:r>
        <w:t>合同约定：离职应办理工作交接手续，交还工具、技术资料，造成损失据实赔偿。</w:t>
      </w:r>
    </w:p>
    <w:p>
      <w:pPr>
        <w:keepNext/>
      </w:pPr>
      <w:r>
        <w:rPr>
          <w:b/>
        </w:rPr>
        <w:t xml:space="preserve">原文位置  </w:t>
      </w:r>
      <w:r>
        <w:rPr>
          <w:color w:val="71847D"/>
        </w:rPr>
        <w:t>输入文字.txt · 第1页</w:t>
      </w:r>
    </w:p>
    <w:p>
      <w:pPr>
        <w:keepNext/>
      </w:pPr>
      <w:r>
        <w:rPr>
          <w:b/>
        </w:rPr>
        <w:t xml:space="preserve">风险说明  </w:t>
      </w:r>
      <w:r>
        <w:t>合同约定离职应办理工作交接、交还工具与技术资料、造成损失据实赔偿，材料又记载员工随即离开且拒不办理工作交接。劳动合同法第五十条明确劳动者应当按照双方约定办理工作交接，因此拒不移交违反法定义务与约定义务。需要注意两点：一是第九十条列举的赔偿责任限于“违反本法规定解除劳动合同”或“违反保密、竞业限制约定”并造成损失，并不能扩张理解为违反任何劳动合同约定都要赔偿；二是“据实赔偿”能否兑现，取决于单位能否证明因未交接、未交还资料而实际产生可量化损失（如资料灭失、数据重制成本、另行补救支出），未交接本身不等于全额赔偿。</w:t>
      </w:r>
    </w:p>
    <w:p>
      <w:pPr>
        <w:keepNext/>
      </w:pPr>
      <w:r>
        <w:rPr>
          <w:b/>
        </w:rPr>
        <w:t xml:space="preserve">分析依据  </w:t>
      </w:r>
      <w:r>
        <w:t>LCL-050 · 中华人民共和国劳动合同法 · 第五十条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用工方应列明未交还的工具、技术资料清单及其价值或重置成本，并与补位、补救支出区分，避免重复计算。</w:t>
      </w:r>
    </w:p>
    <w:p>
      <w:pPr>
        <w:pStyle w:val="ListBullet"/>
        <w:keepNext/>
      </w:pPr>
      <w:r>
        <w:t>员工方如愿意补办交接，应以书面方式提出交接清单并留存交接记录，以减轻可能的损失扩大责任。</w:t>
      </w:r>
    </w:p>
    <w:p>
      <w:pPr>
        <w:pStyle w:val="ListBullet"/>
        <w:keepNext w:val="0"/>
      </w:pPr>
      <w:r>
        <w:t>区分“未交接”这一违约事实与“因未交接造成的损失”，索赔主张应落到具体损失项目与凭证上。</w:t>
      </w:r>
    </w:p>
    <w:p>
      <w:pPr>
        <w:pStyle w:val="Heading1"/>
      </w:pPr>
      <w:r>
        <w:t>03  待核实事项与分析局限</w:t>
      </w:r>
    </w:p>
    <w:p>
      <w:pPr>
        <w:pStyle w:val="ListBullet"/>
      </w:pPr>
      <w:r>
        <w:t>材料为公开摘录（非原件），未提供合同完整文本、签字页及附件，也未提供任何保密条款或竞业限制条款及补偿约定；研发岗位客观上可能接触技术秘密，但仅凭岗位名称不能认定竞业限制约定有效或员工负有竞业义务，如需主张此项应另行核查。</w:t>
      </w:r>
    </w:p>
    <w:p>
      <w:pPr>
        <w:pStyle w:val="ListBullet"/>
      </w:pPr>
      <w:r>
        <w:t>补充事实仍未提供实际损失数额与具体支付凭证，无法评估第九十条赔偿是否成立及可能范围，本报告不预估金额。</w:t>
      </w:r>
    </w:p>
    <w:p>
      <w:pPr>
        <w:pStyle w:val="ListBullet"/>
      </w:pPr>
      <w:r>
        <w:t>未提供辞职通知的形式与送达时间、员工是否处于试用期、单位是否及时知悉等细节，第三十七条的违反程度与因果关系强弱仍需核实。</w:t>
      </w:r>
    </w:p>
    <w:p>
      <w:pPr>
        <w:pStyle w:val="ListBullet"/>
      </w:pPr>
      <w:r>
        <w:t>未提供是否存在工资、加班费、社保缴纳、经济补偿等争议的支付与考勤记录，本报告未评估该类问题；此类事项需另行补充材料。</w:t>
      </w:r>
    </w:p>
    <w:p>
      <w:pPr>
        <w:pStyle w:val="ListBullet"/>
      </w:pPr>
      <w:r>
        <w:t>未提供双方是否已经提起仲裁或诉讼、当年申请日期等信息，无法评估时效问题；本报告不假设今日首次提出争议，也不据此认定时效已过。</w:t>
      </w:r>
    </w:p>
    <w:p>
      <w:pPr>
        <w:pStyle w:val="ListBullet"/>
      </w:pPr>
      <w:r>
        <w:t>本报告基于材料文字进行风险梳理，不构成违法认定或裁判结论，也不保证任何一方胜诉或获赔；实际处理需结合完整合同、原始凭证及当年适用的法律规定。</w:t>
      </w:r>
    </w:p>
    <w:p>
      <w:pPr>
        <w:pStyle w:val="ListBullet"/>
      </w:pPr>
      <w:r>
        <w:t>提取文本标注 extraction_verified 为 false，存在识别或摘录不完整可能，建议以原始文件核对。</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