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真实案例-试用期辞退与迟到证据</w:t>
      </w:r>
    </w:p>
    <w:p>
      <w:r>
        <w:rPr>
          <w:color w:val="71847D"/>
        </w:rPr>
        <w:t>第 1 版  |  生成时间：2026-10-06 21:24</w:t>
      </w:r>
    </w:p>
    <w:p>
      <w:r>
        <w:rPr>
          <w:color w:val="71847D"/>
        </w:rPr>
        <w:t>本报告依据已提供材料进行风险提示；风险等级不是违法认定或风险概率。</w:t>
      </w:r>
    </w:p>
    <w:p>
      <w:pPr>
        <w:pStyle w:val="Heading1"/>
      </w:pPr>
      <w:r>
        <w:t>01  结论与风险概览</w:t>
      </w:r>
    </w:p>
    <w:p>
      <w:pPr>
        <w:shd w:fill="EDF6F1"/>
      </w:pPr>
      <w:r>
        <w:t>现有材料为摘录文本，未显示可确认的独立异常条款或行为；可判断的核心争议是2023年6月21日以“试用期不符合录用条件”为由的解除是否合法，这取决于录用条件是否明确告知、是否有不符合的事实证据以及是否说明理由，现阶段无法判定违法解除，也无法计算或保证赔偿。</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1"/>
      </w:pPr>
      <w:r>
        <w:t>02  风险详情</w:t>
      </w:r>
    </w:p>
    <w:p>
      <w:r>
        <w:t>本次未列出具体风险点。请结合分析局限理解结论。</w:t>
      </w:r>
    </w:p>
    <w:p>
      <w:pPr>
        <w:pStyle w:val="Heading1"/>
      </w:pPr>
      <w:r>
        <w:t>03  待核实事项与分析局限</w:t>
      </w:r>
    </w:p>
    <w:p>
      <w:pPr>
        <w:pStyle w:val="ListBullet"/>
      </w:pPr>
      <w:r>
        <w:t>所提供材料为“劳动合同及辞退通知公开内容摘录（非文件原件）”，未提交劳动合同原件、辞退通知原件，无法核验文本完整性与真伪；本报告全部结论均以现有摘录为限。</w:t>
      </w:r>
    </w:p>
    <w:p>
      <w:pPr>
        <w:pStyle w:val="ListBullet"/>
      </w:pPr>
      <w:r>
        <w:t>未提供劳动合同总期限与合同类型，无法判断约定试用期两个月是否符合劳动合同法第十九条的上限，也无法排除重复约定试用期的情形；需先核实合同起止日期。</w:t>
      </w:r>
    </w:p>
    <w:p>
      <w:pPr>
        <w:pStyle w:val="ListBullet"/>
      </w:pPr>
      <w:r>
        <w:t>未提供考勤记录、实际出勤情况、迟到次数与时间、提醒整改记录，无法评估单位“不符合录用条件”是否有事实与证据支撑。</w:t>
      </w:r>
    </w:p>
    <w:p>
      <w:pPr>
        <w:pStyle w:val="ListBullet"/>
      </w:pPr>
      <w:r>
        <w:t>未提供录用条件、岗位职责、考核标准、员工手册及是否向员工告知的材料，无法判断录用条件是否明确、是否事先告知；员工称入职时未书面约定迟到次数与录用条件的关系，不等于解除必然违法，单位仍可能通过其他方式事先告知并举证。</w:t>
      </w:r>
    </w:p>
    <w:p>
      <w:pPr>
        <w:pStyle w:val="ListBullet"/>
      </w:pPr>
      <w:r>
        <w:t>未提供辞退通知的具体理由表述及送达证据，无法评估解除是否履行了劳动合同法第二十一条“说明理由”的程序要求。</w:t>
      </w:r>
    </w:p>
    <w:p>
      <w:pPr>
        <w:pStyle w:val="ListBullet"/>
      </w:pPr>
      <w:r>
        <w:t>未提供工资标准、工资发放记录、社保缴纳情况，无法计算可能的经济补偿或赔偿金金额。</w:t>
      </w:r>
    </w:p>
    <w:p>
      <w:pPr>
        <w:pStyle w:val="ListBullet"/>
      </w:pPr>
      <w:r>
        <w:t>材料不含处理结果，也未说明是否已申请劳动仲裁或申请日期；仲裁时效问题需另行核实，不能仅因2023年解除距今较久就认定已过时效。</w:t>
      </w:r>
    </w:p>
    <w:p>
      <w:pPr>
        <w:pStyle w:val="ListBullet"/>
      </w:pPr>
      <w:r>
        <w:t>本报告为基于现有材料的初步核查方向，不构成法律意见，也不代表仲裁机构或法院的认定，不对案件结果或获赔作任何保证。</w:t>
      </w:r>
    </w:p>
    <w:p>
      <w:pPr>
        <w:pStyle w:val="Heading1"/>
      </w:pPr>
      <w:r>
        <w:t>04  依据与来源</w:t>
      </w:r>
    </w:p>
    <w:p>
      <w:r>
        <w:rPr>
          <w:color w:val="71847D"/>
        </w:rPr>
        <w:t>法条、风险提示、指南及案例分别标注；案例结论只用于个案参考。</w:t>
      </w:r>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LCL-021  中华人民共和国劳动合同法</w:t>
      </w:r>
    </w:p>
    <w:p>
      <w:pPr>
        <w:keepNext/>
        <w:spacing w:line="288" w:lineRule="auto" w:after="80"/>
      </w:pPr>
      <w:r>
        <w:rPr>
          <w:color w:val="71847D"/>
          <w:sz w:val="19"/>
        </w:rPr>
        <w:t>法律条文 · 第二十一条</w:t>
      </w:r>
    </w:p>
    <w:p>
      <w:pPr>
        <w:keepNext/>
        <w:spacing w:line="288" w:lineRule="auto" w:after="80"/>
      </w:pPr>
      <w:r>
        <w:rPr>
          <w:sz w:val="19"/>
        </w:rPr>
        <w:t>第二十一条　在试用期中，除劳动者有本法第三十九条和第四十条第一项、第二项规定的情形外，用人单位不得解除劳动合同。用人单位在试用期解除劳动合同的，应当向劳动者说明理由。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SUP-A03  试用期与辞退争议</w:t>
      </w:r>
    </w:p>
    <w:p>
      <w:pPr>
        <w:keepNext/>
        <w:spacing w:line="288" w:lineRule="auto" w:after="80"/>
      </w:pPr>
      <w:r>
        <w:rPr>
          <w:color w:val="71847D"/>
          <w:sz w:val="19"/>
        </w:rPr>
        <w:t>辅助资料（团队整理） · 维权行动卡</w:t>
      </w:r>
    </w:p>
    <w:p>
      <w:pPr>
        <w:keepNext/>
        <w:spacing w:line="288" w:lineRule="auto" w:after="80"/>
      </w:pPr>
      <w:r>
        <w:rPr>
          <w:sz w:val="19"/>
        </w:rPr>
        <w:t>核对合同、试用期实际履行、解除理由和证据，保存通知与工资记录。签收通知不等于同意解除，可真实注明仅签收、不认可理由；不要一概拒绝接收书面证据。违法解除与违法试用期赔偿分别审查，不自动保证2N。</w:t>
      </w:r>
      <w:r>
        <w:rPr>
          <w:sz w:val="19"/>
        </w:rPr>
        <w:br/>
      </w:r>
      <w:r>
        <w:rPr>
          <w:sz w:val="19"/>
        </w:rPr>
        <w:t>关联依据编号：K004、LCL-020、LCL-021、LCL-048、LCL-083、LCL-087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https://www.dhlh.gov.cn/rsj/Web/_F0_0_28D04GIGEN3XZTQZ5FVD0YUCHG.htm</w:t>
        </w:r>
      </w:hyperlink>
    </w:p>
    <w:p>
      <w:pPr>
        <w:pStyle w:val="Heading2"/>
        <w:keepNext/>
      </w:pPr>
      <w:r>
        <w:t>SUP-F08  试用期被辞退能否获得赔偿</w:t>
      </w:r>
    </w:p>
    <w:p>
      <w:pPr>
        <w:keepNext/>
        <w:spacing w:line="288" w:lineRule="auto" w:after="80"/>
      </w:pPr>
      <w:r>
        <w:rPr>
          <w:color w:val="71847D"/>
          <w:sz w:val="19"/>
        </w:rPr>
        <w:t>辅助资料（团队整理） · 高频问答</w:t>
      </w:r>
    </w:p>
    <w:p>
      <w:pPr>
        <w:keepNext/>
        <w:spacing w:line="288" w:lineRule="auto" w:after="80"/>
      </w:pPr>
      <w:r>
        <w:rPr>
          <w:sz w:val="19"/>
        </w:rPr>
        <w:t>先核对解除理由、录用条件、证据及程序。试用期解除还可能适用其他法定事由，不能仅凭单位未证明不符合录用条件就一律认定违法或自动获赔2N。违法解除的救济依具体条件确定。</w:t>
      </w:r>
      <w:r>
        <w:rPr>
          <w:sz w:val="19"/>
        </w:rPr>
        <w:br/>
      </w:r>
      <w:r>
        <w:rPr>
          <w:sz w:val="19"/>
        </w:rPr>
        <w:t>关联依据编号：LCL-021、LCL-039、LCL-040、LCL-048、LCL-087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