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真实合同案例-岗前培训服务期</w:t>
      </w:r>
    </w:p>
    <w:p>
      <w:r>
        <w:rPr>
          <w:color w:val="71847D"/>
        </w:rPr>
        <w:t>第 1 版  |  生成时间：2026-10-06 20:29</w:t>
      </w:r>
    </w:p>
    <w:p>
      <w:r>
        <w:rPr>
          <w:color w:val="71847D"/>
        </w:rPr>
        <w:t>本报告依据已提供材料进行风险提示；风险等级不是违法认定或风险概率。</w:t>
      </w:r>
    </w:p>
    <w:p>
      <w:pPr>
        <w:pStyle w:val="Heading1"/>
      </w:pPr>
      <w:r>
        <w:t>01  结论与风险概览</w:t>
      </w:r>
    </w:p>
    <w:p>
      <w:pPr>
        <w:shd w:fill="EDF6F1"/>
      </w:pPr>
      <w:r>
        <w:t>本报告仅基于你提供的江苏法院公开案例摘录（非合同原件、未含裁判结论、未标记为已校验）和现行官方规范作有限分析，不构成法律意见，也不是对企业违法或诈骗的认定。材料显示：2020年5月入职签订《培训服务协议》，约定职前培训18天（内容为公司背景介绍、业务简介、课程体系与品牌课程优势、销售技巧及电话销售技巧）、最低服务年限1.5年，未满即“赔偿全部培训费用”；2020年9月离职后公司据此索费。劳动合同法第二十二条仅在用人单位提供专项培训费用、进行专业技术培训时可约定服务期违约金，且违约金不得超过实际培训费用、也不得超过服务期尚未履行部分应分摊的培训费用；第二十五条限定此外不得约定由劳动者承担违约金。是否符合上述条件需结合具体事实判断，材料不足以认定，本报告不就个案作定性结论。</w:t>
      </w:r>
    </w:p>
    <w:p>
      <w:r>
        <w:rPr>
          <w:b/>
        </w:rPr>
        <w:t xml:space="preserve">概览依据：  </w:t>
      </w:r>
      <w:r>
        <w:rPr>
          <w:color w:val="71847D"/>
        </w:rPr>
        <w:t>LCL-022、LCL-025、LCL-023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“未满1.5年即赔偿全部培训费用”条款：培训性质、服务期效力、费用上限与离职索费</w:t>
            </w:r>
          </w:p>
        </w:tc>
        <w:tc>
          <w:tcPr>
            <w:tcW w:type="dxa" w:w="5443"/>
          </w:tcPr>
          <w:p>
            <w:pPr>
              <w:spacing w:line="288" w:lineRule="auto" w:after="140" w:before="140"/>
            </w:pPr>
            <w:r>
              <w:rPr>
                <w:sz w:val="19"/>
              </w:rPr>
              <w:t>以书面方式（如邮件、微信并留存记录）要求公司出具培训费用明细，包括发票、付款凭证、讲师费、场地费、差旅费及是否由公司实际承担，用以判断是否属于第二十二条“专项培训费用”。</w:t>
            </w:r>
          </w:p>
        </w:tc>
      </w:tr>
    </w:tbl>
    <w:p>
      <w:r>
        <w:rPr>
          <w:b/>
        </w:rPr>
        <w:t xml:space="preserve">本版修改  </w:t>
      </w:r>
      <w:r>
        <w:t>将原两项风险合并为一项：同一培训协议项下的培训性质、服务期效力、费用上限与离职索费属于同一法律义务下的多个判断条件，按规则合并并保留各条件及依据；删除单独列出的材料不足项，改列入 limitations；将证据留存与投诉路径归入 suggestions；删除与本题无关的民法典违约金酌减、入职收费、竞业限制等条文与案例；证据编号仅保留实际用于当前分析的来源。</w:t>
      </w:r>
    </w:p>
    <w:p>
      <w:pPr>
        <w:pStyle w:val="Heading1"/>
      </w:pPr>
      <w:r>
        <w:t>02  风险详情</w:t>
      </w:r>
    </w:p>
    <w:p>
      <w:pPr>
        <w:pStyle w:val="Heading2"/>
        <w:keepNext/>
      </w:pPr>
      <w:r>
        <w:rPr>
          <w:color w:val="B78224"/>
        </w:rPr>
        <w:t>01  “未满1.5年即赔偿全部培训费用”条款：培训性质、服务期效力、费用上限与离职索费  ·  需关注</w:t>
      </w:r>
    </w:p>
    <w:p>
      <w:pPr>
        <w:keepNext/>
        <w:shd w:fill="F3F6F5"/>
      </w:pPr>
      <w:r>
        <w:rPr>
          <w:b/>
        </w:rPr>
        <w:t xml:space="preserve">材料原文  </w:t>
      </w:r>
      <w:r>
        <w:t>培训结束后履职未达到最低服务年限1.5年的，邱某应赔偿全部培训费用。</w:t>
      </w:r>
    </w:p>
    <w:p>
      <w:pPr>
        <w:keepNext/>
      </w:pPr>
      <w:r>
        <w:rPr>
          <w:b/>
        </w:rPr>
        <w:t xml:space="preserve">原文位置  </w:t>
      </w:r>
      <w:r>
        <w:rPr>
          <w:color w:val="71847D"/>
        </w:rPr>
        <w:t>测试招聘信息或待签合同 · 第1页</w:t>
      </w:r>
    </w:p>
    <w:p>
      <w:pPr>
        <w:keepNext/>
      </w:pPr>
      <w:r>
        <w:rPr>
          <w:b/>
        </w:rPr>
        <w:t xml:space="preserve">风险说明  </w:t>
      </w:r>
      <w:r>
        <w:t>该条款将“履职未达1.5年服务期”直接对应“赔偿全部培训费用”，需逐项核查其成立条件。①培训性质：按劳动合同法第二十二条，只有用人单位提供专项培训费用、进行专业技术培训，才可约定服务期及违约金；材料所示18天内容多为公司背景介绍、业务简介、课程体系与品牌课程优势、销售技巧及电话销售技巧，是否构成“专业技术培训”需结合是否提供专项技能训练及费用承担判断，材料不足以认定。②服务期违约金效力：按第二十五条，除第二十二条（服务期）和第二十三条（竞业限制）情形外，用人单位不得约定由劳动者承担违约金，故该条款是否有效取决于是否落入第二十二条或第二十三条，材料未显示竞业限制情形。③费用上限：第二十二条规定违约金数额不得超过用人单位提供的培训费用，且要求支付的违约金不得超过服务期尚未履行部分所应分摊的培训费用；材料未给出培训费用金额及逐项凭证，因此“赔偿全部培训费用”是否超出上限无法核算。④离职索费：公司于2020年9月邱某离职后据该条主张赔偿，能否成立、金额多少均取决于上述条件是否满足，材料不足以认定。本项不作出条款违法或索赔成立的结论。</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b/>
        </w:rPr>
        <w:t xml:space="preserve">分析依据  </w:t>
      </w:r>
      <w:r>
        <w:t>LCL-023 · 中华人民共和国劳动合同法 · 第二十三条</w:t>
      </w:r>
    </w:p>
    <w:p>
      <w:pPr>
        <w:keepNext/>
      </w:pPr>
      <w:r>
        <w:rPr>
          <w:color w:val="287B65"/>
        </w:rPr>
        <w:t>建议行动</w:t>
      </w:r>
    </w:p>
    <w:p>
      <w:pPr>
        <w:pStyle w:val="ListBullet"/>
        <w:keepNext/>
      </w:pPr>
      <w:r>
        <w:t>以书面方式（如邮件、微信并留存记录）要求公司出具培训费用明细，包括发票、付款凭证、讲师费、场地费、差旅费及是否由公司实际承担，用以判断是否属于第二十二条“专项培训费用”。</w:t>
      </w:r>
    </w:p>
    <w:p>
      <w:pPr>
        <w:pStyle w:val="ListBullet"/>
        <w:keepNext/>
      </w:pPr>
      <w:r>
        <w:t>取得协议完整文本，核对服务期起算日、违约金计算方式及是否约定竞业限制，判断是否落入第二十二条或第二十三条。</w:t>
      </w:r>
    </w:p>
    <w:p>
      <w:pPr>
        <w:pStyle w:val="ListBullet"/>
        <w:keepNext/>
      </w:pPr>
      <w:r>
        <w:t>按已履行月份自行测算未履行部分应分摊金额，与公司主张金额比较，对超出实际费用或超出分摊额的部分提出异议。</w:t>
      </w:r>
    </w:p>
    <w:p>
      <w:pPr>
        <w:pStyle w:val="ListBullet"/>
        <w:keepNext w:val="0"/>
      </w:pPr>
      <w:r>
        <w:t>保存岗位说明书、培训通知、签到表、培训课件、工资及考勤记录，用于证明培训性质与履行情况；对无依据的全额赔偿要求不先行支付，协商不成可通过劳动仲裁或诉讼主张。</w:t>
      </w:r>
    </w:p>
    <w:p>
      <w:pPr>
        <w:pStyle w:val="Heading1"/>
      </w:pPr>
      <w:r>
        <w:t>03  待核实事项与分析局限</w:t>
      </w:r>
    </w:p>
    <w:p>
      <w:pPr>
        <w:pStyle w:val="ListBullet"/>
      </w:pPr>
      <w:r>
        <w:t>材料为法院公开案例整理摘录，非合同原件，未补造未公开条款；提取状态未标记为已校验（extraction_verified=false）。</w:t>
      </w:r>
    </w:p>
    <w:p>
      <w:pPr>
        <w:pStyle w:val="ListBullet"/>
      </w:pPr>
      <w:r>
        <w:t>材料未包含裁判结论、法院说理和专家点评，无法确认个案结果及违约金是否被支持，本报告不就裁判结果作判断。</w:t>
      </w:r>
    </w:p>
    <w:p>
      <w:pPr>
        <w:pStyle w:val="ListBullet"/>
      </w:pPr>
      <w:r>
        <w:t>缺少培训费用总金额、逐项费用凭证、协议完整条款、离职原因及是否约定保密或竞业限制，故无法核算实际可主张金额，也无法判断是否落入第二十三条情形。</w:t>
      </w:r>
    </w:p>
    <w:p>
      <w:pPr>
        <w:pStyle w:val="ListBullet"/>
      </w:pPr>
      <w:r>
        <w:t>本报告仅依据现行劳动合同法等官方来源作条件性分析；这是整理意见，不是裁判机关，不作出裁判或违法认定。</w:t>
      </w:r>
    </w:p>
    <w:p>
      <w:pPr>
        <w:pStyle w:val="ListBullet"/>
      </w:pPr>
      <w:r>
        <w:t>若后续补充完整条款、费用凭证或裁判文书，结论可能需要修正。</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