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t>根据已提供的招聘信息、沟通内容与拟签材料进行风险自查。</w:t>
      </w:r>
    </w:p>
    <w:p>
      <w:r>
        <w:rPr>
          <w:color w:val="71847D"/>
        </w:rPr>
        <w:t>第 2 版  |  生成时间：2026-10-09 19:43</w:t>
      </w:r>
    </w:p>
    <w:p>
      <w:r>
        <w:rPr>
          <w:color w:val="71847D"/>
        </w:rPr>
        <w:t>本报告依据已提供材料进行风险提示；风险等级不是违法认定或风险概率。</w:t>
      </w:r>
    </w:p>
    <w:p>
      <w:pPr>
        <w:pStyle w:val="Heading1"/>
      </w:pPr>
      <w:r>
        <w:t>分析材料与用户说明</w:t>
      </w:r>
    </w:p>
    <w:p>
      <w:r>
        <w:rPr>
          <w:color w:val="71847D"/>
        </w:rPr>
        <w:t>以下为用户提供的材料说明，尚未外部核验；后续补充或纠正以较新说明为准。分析请求与明确的测试备注单列，原始输入仍保存在会话中。</w:t>
      </w:r>
    </w:p>
    <w:p>
      <w:pPr>
        <w:keepNext/>
      </w:pPr>
      <w:r>
        <w:rPr>
          <w:color w:val="71847D"/>
        </w:rPr>
        <w:t>第1次材料说明</w:t>
      </w:r>
    </w:p>
    <w:p>
      <w:r>
        <w:t>我是大四学生，正在找第一份工作，还没有入职、签协议或付款。招聘广告写：招聘软件测试助理，不要求工作经验，月薪6000—8000元，公司提供岗前培训，培训后安排工作。面试结束后，HR说我基础不足，需要先参加两个月培训，费用9800元。他说可以分期，不用现在一次性付清，并催我今天确认名额。我现在只拿到了招聘截图和这些聊天内容，还没看到培训协议，也不知道培训是谁提供、费用付给谁、分期是不是贷款。</w:t>
      </w:r>
    </w:p>
    <w:p>
      <w:pPr>
        <w:keepNext/>
      </w:pPr>
      <w:r>
        <w:rPr>
          <w:color w:val="71847D"/>
        </w:rPr>
        <w:t>分析请求与测试说明</w:t>
      </w:r>
    </w:p>
    <w:p>
      <w:r>
        <w:rPr>
          <w:color w:val="71847D"/>
        </w:rPr>
        <w:t>这是提示词</w:t>
      </w:r>
    </w:p>
    <w:p>
      <w:r>
        <w:rPr>
          <w:color w:val="71847D"/>
        </w:rPr>
        <w:t>暂时无法补充以上信息，请先生成有限报告，并列明待核实事项。</w:t>
      </w:r>
    </w:p>
    <w:p>
      <w:pPr>
        <w:pStyle w:val="Heading1"/>
      </w:pPr>
      <w:r>
        <w:t>01  结论与风险概览</w:t>
      </w:r>
    </w:p>
    <w:p>
      <w:r>
        <w:rPr>
          <w:b/>
          <w:color w:val="B85646"/>
        </w:rPr>
        <w:t>已标注最高风险等级：高风险</w:t>
      </w:r>
    </w:p>
    <w:p>
      <w:pPr>
        <w:pStyle w:val="ListBullet"/>
      </w:pPr>
      <w:r>
        <w:t>立即暂停：不支付9800元、不办理任何分期或借款、不点击贷款类链接、不在平台提交身份证或银行卡信息、不确认名额、不签署任何协议。</w:t>
      </w:r>
    </w:p>
    <w:p>
      <w:r>
        <w:rPr>
          <w:b/>
        </w:rPr>
        <w:t>现有材料呈现典型的“招聘转收费培训”信号：广告以软件测试助理岗位、不要求工作经验、月薪6000—8000元且“公司提供岗前培训”吸引应聘，面试后却以“基础不足”为由要求先参加两个月、费用9800元的培训，并称可以分期、催促今天确认名额。你目前尚未付款、未签约、未入职，这是最有利的位置。</w:t>
      </w:r>
    </w:p>
    <w:p>
      <w:r>
        <w:t>请先暂停付款、分期、借款授权和签字确认名额，把“不参加付费培训能否正常应聘该岗位”“培训后是直接入职还是仅推荐面试”以书面方式问清楚，并核实招聘主体、培训主体、收费主体与分期性质。招转培风险本身不等于违法或诈骗认定，本报告也未核验该公司或机构的任何资质。</w:t>
      </w:r>
    </w:p>
    <w:p>
      <w:pPr>
        <w:pStyle w:val="Heading2"/>
      </w:pPr>
      <w:r>
        <w:t>签约与入职前，建议先做</w:t>
      </w:r>
    </w:p>
    <w:p>
      <w:r>
        <w:rPr>
          <w:color w:val="71847D"/>
        </w:rPr>
        <w:t>先暂停付款、分期与签字，再书面核实主体与协议</w:t>
      </w:r>
    </w:p>
    <w:p>
      <w:pPr>
        <w:pStyle w:val="ListBullet"/>
      </w:pPr>
      <w:r>
        <w:t>书面追问招聘方：招聘主体全称与统一社会信用代码；培训由谁提供、与招聘方什么关系；9800元收款主体与账户；分期是机构内部分期还是第三方贷款；不参加付费培训能否正常应聘该岗位；培训后是直接入职还是仅推荐面试。</w:t>
      </w:r>
    </w:p>
    <w:p>
      <w:pPr>
        <w:pStyle w:val="ListBullet"/>
      </w:pPr>
      <w:r>
        <w:t>索要并审阅文件：培训协议全文、收费明细与退费规则、服务期与违约金条款、贷款或分期合同（如有），以及关于安排工作的书面承诺；看清全部条款前保持暂停。</w:t>
      </w:r>
    </w:p>
    <w:p>
      <w:pPr>
        <w:pStyle w:val="ListBullet"/>
      </w:pPr>
      <w:r>
        <w:t>官方核查：按主体全称核对营业执照登记、经营异常与相关行政许可；如涉及职业中介活动，核对是否取得人力资源服务许可证；如涉及职业技能培训，核对培训机构的办学许可资质。核查结果只能减少个别疑点，不能作为付费求职的理由。</w:t>
      </w:r>
    </w:p>
    <w:p>
      <w:pPr>
        <w:pStyle w:val="ListBullet"/>
      </w:pPr>
      <w:r>
        <w:t>退出信号：对方拒绝书面答复、坚持先交钱再给合同、要求转个人账户、声称“不交钱就没有岗位”、或反复以今天为限催促的，停止推进。</w:t>
      </w:r>
    </w:p>
    <w:p>
      <w:pPr>
        <w:pStyle w:val="ListBullet"/>
      </w:pPr>
      <w:r>
        <w:t>证据留存：保存招聘截图、完整聊天记录、通话录音（如当地允许）、对方承诺文本及任何收费或分期说明；如已发生付款，保留转账凭证，后续可向人力资源社会保障部门反映，涉嫌诈骗向公安机关报案。 遇到人身危险或紧急情况，请拨打110。</w:t>
      </w:r>
    </w:p>
    <w:p>
      <w:r>
        <w:rPr>
          <w:color w:val="71847D"/>
        </w:rPr>
        <w:t>你目前尚未付款、未签约、未入职，现在暂停推进有助于降低损失风险；但任何核查或书面承诺都不能保证该岗位真实或最终录用，也不能使“付费换岗位”的安排变成安全选择。确有独立培训需求时，应与求职分开评估。</w:t>
      </w:r>
    </w:p>
    <w:p>
      <w:r>
        <w:rPr>
          <w:b/>
        </w:rPr>
        <w:t xml:space="preserve">概览依据：  </w:t>
      </w:r>
      <w:r>
        <w:rPr>
          <w:color w:val="71847D"/>
        </w:rPr>
        <w:t>K005、K006、K001、SUP-L-market、LCL-022、O003-facts、O003-reasoning、O003-outcome</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5712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571200"/>
                    </a:xfrm>
                    <a:prstGeom prst="rect"/>
                  </pic:spPr>
                </pic:pic>
              </a:graphicData>
            </a:graphic>
          </wp:inline>
        </w:drawing>
      </w:r>
    </w:p>
    <w:p>
      <w:r>
        <w:rPr>
          <w:color w:val="71847D"/>
        </w:rPr>
        <w:t>图中仅统计已标注风险点，另有12条待核实事项与分析局限，见03节；未发现问题不代表已证明安全。</w:t>
      </w:r>
    </w:p>
    <w:p>
      <w:pPr>
        <w:pStyle w:val="Heading2"/>
      </w:pPr>
      <w:r>
        <w:t>问题速览</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“应聘岗位”被转向9800元收费培训（疑似招转培）</w:t>
            </w:r>
          </w:p>
        </w:tc>
        <w:tc>
          <w:tcPr>
            <w:tcW w:type="dxa" w:w="5443"/>
          </w:tcPr>
          <w:p>
            <w:pPr>
              <w:spacing w:line="288" w:lineRule="auto" w:after="140" w:before="140"/>
            </w:pPr>
            <w:r>
              <w:rPr>
                <w:sz w:val="19"/>
              </w:rPr>
              <w:t>立即暂停：不支付9800元、不办理任何分期或借款、不点击贷款类链接、不在平台提交身份证或银行卡信息、不确认名额、不签署任何协议。</w:t>
            </w:r>
          </w:p>
        </w:tc>
      </w:tr>
    </w:tbl>
    <w:p>
      <w:r>
        <w:rPr>
          <w:b/>
        </w:rPr>
        <w:t xml:space="preserve">本版修改  </w:t>
      </w:r>
      <w:r>
        <w:t>上一份报告保留了两项风险，其中“‘培训后安排工作’的口头承诺模糊”一项的实质是尚待书面落实的核实事项，与第一项收费培训风险出自同一笔9800元交易。本次已将该项删除，把“安排工作”与“保证录用”的区分、书面落实要求及未安排工作的退费追问并入第一项风险的说明、建议与待核实事项，使正文与说明一致；其余事实、依据和风险判断未变。</w:t>
      </w:r>
    </w:p>
    <w:p>
      <w:pPr>
        <w:pStyle w:val="Heading1"/>
      </w:pPr>
      <w:r>
        <w:t>02  风险详情</w:t>
      </w:r>
    </w:p>
    <w:p>
      <w:pPr>
        <w:pStyle w:val="Heading2"/>
        <w:keepNext/>
      </w:pPr>
      <w:r>
        <w:rPr>
          <w:color w:val="287B65"/>
        </w:rPr>
        <w:t>风险1  “应聘岗位”被转向9800元收费培训（疑似招转培）</w:t>
      </w:r>
    </w:p>
    <w:p>
      <w:pPr>
        <w:keepNext/>
      </w:pPr>
      <w:r>
        <w:rPr>
          <w:b/>
        </w:rPr>
        <w:t xml:space="preserve">风险等级  </w:t>
      </w:r>
      <w:r>
        <w:rPr>
          <w:color w:val="B85646"/>
        </w:rPr>
        <w:t>高风险</w:t>
      </w:r>
    </w:p>
    <w:p>
      <w:pPr>
        <w:shd w:fill="F3F6F5"/>
      </w:pPr>
      <w:r>
        <w:rPr>
          <w:b/>
        </w:rPr>
        <w:t xml:space="preserve">材料原文  </w:t>
      </w:r>
      <w:r>
        <w:t>面试结束后，HR说我基础不足，需要先参加两个月培训，费用9800元。</w:t>
      </w:r>
    </w:p>
    <w:p>
      <w:r>
        <w:rPr>
          <w:b/>
        </w:rPr>
        <w:t xml:space="preserve">原文位置  </w:t>
      </w:r>
      <w:r>
        <w:rPr>
          <w:color w:val="71847D"/>
        </w:rPr>
        <w:t>用户补充说明</w:t>
      </w:r>
    </w:p>
    <w:p>
      <w:r>
        <w:rPr>
          <w:b/>
        </w:rPr>
        <w:t xml:space="preserve">风险说明  </w:t>
      </w:r>
      <w:r>
        <w:t>招聘广告与面试后的要求前后矛盾：广告写“不要求工作经验”“公司提供岗前培训”“培训后安排工作”，面试后HR却称你基础不足，需要先参加两个月、费用9800元的培训，并同时表示可以分期、不用现在一次性付清，还催今天确认名额。这属于“先招聘、再以能力不足推销付费培训”的官方提示风险情形，是把取得岗位与付费培训挂钩（或至少不排除这种挂钩）的做法，不是诈骗或违法认定。</w:t>
      </w:r>
      <w:r>
        <w:br/>
      </w:r>
      <w:r/>
      <w:r>
        <w:br/>
      </w:r>
      <w:r>
        <w:t>广告所称“培训后安排工作”本身含义模糊，与“保证录用”差别很大：培训后是直接与招聘主体签订劳动合同入职，还是仅推荐到其他单位面试、甚至只给招聘信息，直接决定你花9800元买到的是什么。广告承诺“不要求工作经验、月薪6000—8000元”与面试后要求先付费培训之间也存在不一致。该承诺目前只是需要书面落实的核实事项，尚未构成独立的已发生异常行为，因此与本次收费培训风险合并说明，不再另列一项。</w:t>
      </w:r>
      <w:r>
        <w:br/>
      </w:r>
      <w:r/>
      <w:r>
        <w:br/>
      </w:r>
      <w:r>
        <w:t>需注意表述边界：原文只是要求参加收费9800元的培训且称可以分期，并未要求你一次性先交清9800元，分期是否属于贷款目前也未知，因此不按“先交清”或“已形成贷款”处理。同笔9800元交易中的名额催促、可分期说法、费用前置、收费规则不透明及主体不清，均作为本风险的论据与待核实事项，不再另计“催促”“分期”或“主体不明”风险。</w:t>
      </w:r>
      <w:r>
        <w:br/>
      </w:r>
      <w:r/>
      <w:r>
        <w:br/>
      </w:r>
      <w:r>
        <w:t>适用的关键取决于主体和款项性质：谁在用谁的名义招人、9800元付给谁、这笔钱是招用环节收费还是独立培训服务费，决定劳动合同法第九条能否适用——该条禁止用人单位在招用劳动者环节以其他名义收取财物，但独立、合法的培训服务不能自动套入；未签约、未实际入职也不能单独作为排除该条适用的理由，仍要核实谁招用、谁收费。若涉及职业中介活动，经营性人力资源服务机构从事职业中介应取得人力资源服务许可证；开展人力资源培训等其他人力资源服务业务，应自开展业务之日起15日内备案——许可与备案是两回事，不能把备案业务都说成许可业务。培训机构的办学资质另有要求，需分别核查。若后续出现要求向个人账户付款、只培训不安排岗位、拒绝书面说明“不培训能否应聘”、或明确拒绝书面确认“安排工作”含义等情形，风险信号会明显加重。是否存在“付费是录用必要前提”，目前只有上述话术可推断，尚需追问核实。</w:t>
      </w:r>
      <w:r>
        <w:br/>
      </w:r>
      <w:r/>
      <w:r>
        <w:br/>
      </w:r>
      <w:r>
        <w:t>若日后拿到培训协议，其中涉及服务期与违约金的，应看是否属于用人单位为劳动者提供专项培训费用的情形：违约金不得超过培训费用，且不得超过服务期尚未履行部分应分摊的培训费用，费用上限、服务期效力和离职索费是同一问题的不同侧面。</w:t>
      </w:r>
    </w:p>
    <w:p>
      <w:r>
        <w:rPr>
          <w:b/>
        </w:rPr>
        <w:t xml:space="preserve">分析依据  </w:t>
      </w:r>
      <w:r/>
      <w:hyperlink w:anchor="source_K005">
        <w:r>
          <w:t>K005 · 五部门警惕招转培、培训贷风险提示 · 风险提示第三项</w:t>
        </w:r>
      </w:hyperlink>
      <w:r>
        <w:t>；</w:t>
      </w:r>
      <w:hyperlink w:anchor="source_K006">
        <w:r>
          <w:t>K006 · 五部门警惕招转培、培训贷风险提示 · 风险提示第四项</w:t>
        </w:r>
      </w:hyperlink>
      <w:r>
        <w:t>；</w:t>
      </w:r>
      <w:hyperlink w:anchor="source_K001">
        <w:r>
          <w:t>K001 · 中华人民共和国劳动合同法 · 第九条</w:t>
        </w:r>
      </w:hyperlink>
      <w:r>
        <w:t>；</w:t>
      </w:r>
      <w:hyperlink w:anchor="source_SUP_L_market">
        <w:r>
          <w:t>SUP-L-market · 人力资源市场暂行条例 · 第十八条</w:t>
        </w:r>
      </w:hyperlink>
      <w:r>
        <w:t>；</w:t>
      </w:r>
      <w:hyperlink w:anchor="source_LCL_022">
        <w:r>
          <w:t>LCL-022 · 中华人民共和国劳动合同法 · 第二十二条</w:t>
        </w:r>
      </w:hyperlink>
      <w:r>
        <w:t>；</w:t>
      </w:r>
      <w:hyperlink w:anchor="source_O003_facts">
        <w:r>
          <w:t>O003-facts · 虚构化妆师助理岗位、招聘转为收费培训 · 第7项：山东青岛两公司“招转培”案件 · 调查事实</w:t>
        </w:r>
      </w:hyperlink>
      <w:r>
        <w:t>；</w:t>
      </w:r>
      <w:hyperlink w:anchor="source_O003_reasoning">
        <w:r>
          <w:t>O003-reasoning · 虚构化妆师助理岗位、招聘转为收费培训 · 第7项：山东青岛两公司“招转培”案件 · 执法认定</w:t>
        </w:r>
      </w:hyperlink>
      <w:r>
        <w:t>；</w:t>
      </w:r>
      <w:hyperlink w:anchor="source_O003_outcome">
        <w:r>
          <w:t>O003-outcome · 虚构化妆师助理岗位、招聘转为收费培训 · 第7项：山东青岛两公司“招转培”案件 · 处理结果</w:t>
        </w:r>
      </w:hyperlink>
    </w:p>
    <w:p>
      <w:pPr>
        <w:keepNext/>
      </w:pPr>
      <w:r>
        <w:rPr>
          <w:color w:val="287B65"/>
        </w:rPr>
        <w:t>建议行动</w:t>
      </w:r>
    </w:p>
    <w:p>
      <w:pPr>
        <w:keepNext/>
      </w:pPr>
      <w:r>
        <w:rPr>
          <w:color w:val="71847D"/>
        </w:rPr>
        <w:t>立即采取</w:t>
      </w:r>
    </w:p>
    <w:p>
      <w:pPr>
        <w:pStyle w:val="ListBullet"/>
      </w:pPr>
      <w:r>
        <w:t>立即暂停：不支付9800元、不办理任何分期或借款、不点击贷款类链接、不在平台提交身份证或银行卡信息、不确认名额、不签署任何协议。</w:t>
      </w:r>
    </w:p>
    <w:p>
      <w:pPr>
        <w:keepNext/>
      </w:pPr>
      <w:r>
        <w:rPr>
          <w:color w:val="71847D"/>
        </w:rPr>
        <w:t>沟通与核查</w:t>
      </w:r>
    </w:p>
    <w:p>
      <w:pPr>
        <w:pStyle w:val="ListBullet"/>
      </w:pPr>
      <w:r>
        <w:t>用书面（聊天或邮件）向对方确认并留存答复：这个岗位本身是否收费；不参加9800元培训能否正常应聘、录用标准是什么；培训由哪个主体提供、费用付给谁；分期是机构内部分期还是第三方贷款；培训后是直接入职还是仅“推荐面试”；未安排工作是否退费、退多少、何时退。</w:t>
      </w:r>
    </w:p>
    <w:p>
      <w:pPr>
        <w:pStyle w:val="ListBullet"/>
      </w:pPr>
      <w:r>
        <w:t>问清招聘主体、HR所属公司、培训提供方、收款主体和账户名称及相互关系；凡要求把钱转到个人账户或拒绝说明收款主体的，不要付款。索款账户为个人账户还是公司对公账户是重要核查点。</w:t>
      </w:r>
    </w:p>
    <w:p>
      <w:pPr>
        <w:pStyle w:val="ListBullet"/>
      </w:pPr>
      <w:r>
        <w:t>对“包就业”“保证转正”“保底薪资”等说法，一律要求写入书面并写明未兑现的后果，不要只接受口头承诺。</w:t>
      </w:r>
    </w:p>
    <w:p>
      <w:pPr>
        <w:pStyle w:val="ListBullet"/>
      </w:pPr>
      <w:r>
        <w:t>索要并审阅培训协议全文、收费明细、退费规则、服务期与违约金条款，以及任何贷款或分期合同；在看清全部条款前保持暂停。</w:t>
      </w:r>
    </w:p>
    <w:p>
      <w:pPr>
        <w:pStyle w:val="ListBullet"/>
      </w:pPr>
      <w:r>
        <w:t>按主体全称和统一社会信用代码核对营业执照登记、经营异常与处罚记录；涉及职业中介的核对是否取得人力资源服务许可证，涉及职业技能培训的核对办学许可资质。核查结果只能减少个别疑点，不能作为付费求职的理由。</w:t>
      </w:r>
    </w:p>
    <w:p>
      <w:pPr>
        <w:pStyle w:val="ListBullet"/>
      </w:pPr>
      <w:r>
        <w:t>留存证据：保存招聘截图、完整聊天记录、通话录音（如当地允许）、对方承诺文本和任何收费或分期说明，为可能的投诉或纠纷留证。</w:t>
      </w:r>
    </w:p>
    <w:p>
      <w:pPr>
        <w:pStyle w:val="ListBullet"/>
      </w:pPr>
      <w:r>
        <w:t>确有独立培训需求时，把培训与求职分开评估，不要把交培训费当作获得岗位的条件；可同时自行投递其他公司同类岗位作对照。</w:t>
      </w:r>
    </w:p>
    <w:p>
      <w:pPr>
        <w:keepNext/>
      </w:pPr>
      <w:r>
        <w:rPr>
          <w:color w:val="71847D"/>
        </w:rPr>
        <w:t>出现以下情况时</w:t>
      </w:r>
    </w:p>
    <w:p>
      <w:pPr>
        <w:pStyle w:val="ListBullet"/>
      </w:pPr>
      <w:r>
        <w:t>退出信号：对方拒绝书面答复、坚持先交钱再给合同、要求转个人账户、声称“不交钱就没有岗位”、或反复以今天为限催促的，停止推进。</w:t>
      </w:r>
    </w:p>
    <w:p>
      <w:pPr>
        <w:pStyle w:val="Heading1"/>
      </w:pPr>
      <w:r>
        <w:t>03  待核实事项与分析局限</w:t>
      </w:r>
    </w:p>
    <w:p>
      <w:pPr>
        <w:pStyle w:val="ListBullet"/>
      </w:pPr>
      <w:r>
        <w:t>你仅提供了招聘广告描述和聊天内容，未提供完整聊天记录、招聘截图原文、公司或机构名称，无法核实招聘主体、培训主体与收费主体是否真实、一致或具备相应资质；本次分析未做任何官方查询。</w:t>
      </w:r>
    </w:p>
    <w:p>
      <w:pPr>
        <w:pStyle w:val="ListBullet"/>
      </w:pPr>
      <w:r>
        <w:t>未提供培训协议，因此其中是否含服务期、违约金、费用上限、退费限制、贷款或征信授权条款及其效力，均无法判断。</w:t>
      </w:r>
    </w:p>
    <w:p>
      <w:pPr>
        <w:pStyle w:val="ListBullet"/>
      </w:pPr>
      <w:r>
        <w:t>9800元的支付时点、支付方式、收款账户和分期性质（机构内部分期还是第三方借款）均未知；你尚未付款，本报告不认定已形成贷款或还款义务，也不在“先交清”的假设下分析。</w:t>
      </w:r>
    </w:p>
    <w:p>
      <w:pPr>
        <w:pStyle w:val="ListBullet"/>
      </w:pPr>
      <w:r>
        <w:t>分期是否属于贷款、是否涉及征信授权或第三方放款，须核对协议与放款主体后判断；即使取消培训，也不当然免除已签署的借款义务。</w:t>
      </w:r>
    </w:p>
    <w:p>
      <w:pPr>
        <w:pStyle w:val="ListBullet"/>
      </w:pPr>
      <w:r>
        <w:t>目前没有对方明确拒绝免费应聘的回复，“付费是录用必要前提”只能作为需追问核实的疑点，尚未证实。</w:t>
      </w:r>
    </w:p>
    <w:p>
      <w:pPr>
        <w:pStyle w:val="ListBullet"/>
      </w:pPr>
      <w:r>
        <w:t>广告所称“培训后安排工作”尚未在书面文件中落实，是直接入职还是仅推荐面试，属于尚待核实的承诺内容，已并入招转培风险项说明，不单独计为风险；如后续对方明确拒绝书面确认或实际只推荐不合规岗位，需重新评估。</w:t>
      </w:r>
    </w:p>
    <w:p>
      <w:pPr>
        <w:pStyle w:val="ListBullet"/>
      </w:pPr>
      <w:r>
        <w:t>劳动合同法第九条针对用人单位招用环节收取财物，能否适用取决于谁招用、谁收费、款项性质以及是否属于独立培训服务；未签约、未实际入职并不单独构成排除适用的理由，但仍需核实主体与行为后判断。</w:t>
      </w:r>
    </w:p>
    <w:p>
      <w:pPr>
        <w:pStyle w:val="ListBullet"/>
      </w:pPr>
      <w:r>
        <w:t>劳动法第六十八条关于用人单位建立职业培训制度的规定，不能单独推出所有独立培训费用均由招聘方承担，仅作职业培训制度背景参考。</w:t>
      </w:r>
    </w:p>
    <w:p>
      <w:pPr>
        <w:pStyle w:val="ListBullet"/>
      </w:pPr>
      <w:r>
        <w:t>你是否具备付费培训的真实需求、该培训与目标岗位是否匹配，属于独立判断事项，本报告无法代你评估。</w:t>
      </w:r>
    </w:p>
    <w:p>
      <w:pPr>
        <w:pStyle w:val="ListBullet"/>
      </w:pPr>
      <w:r>
        <w:t>本报告只作风险提示与自查建议，不是法律意见，也不构成对该公司违法或诈骗的认定；后续如涉及投诉或纠纷，结果取决于具体事实和证据。</w:t>
      </w:r>
    </w:p>
    <w:p>
      <w:pPr>
        <w:pStyle w:val="ListBullet"/>
      </w:pPr>
      <w:r>
        <w:t>同一9800元培训交易中的收费规则适用条件、名额催促、可分期说法与承诺模糊均已并入上述高风险项解释，不再另计“可能冲突”或“承诺模糊”风险。</w:t>
      </w:r>
    </w:p>
    <w:p>
      <w:pPr>
        <w:pStyle w:val="ListBullet"/>
      </w:pPr>
      <w:r>
        <w:t>请结合原始材料核实关键事实；尚未确认的内容仅作风险提示，可补充材料后再更新结论。</w:t>
      </w:r>
    </w:p>
    <w:p>
      <w:pPr>
        <w:pStyle w:val="Heading2"/>
      </w:pPr>
      <w:r>
        <w:t>关联自查清单</w:t>
      </w:r>
    </w:p>
    <w:p>
      <w:r>
        <w:rPr>
          <w:color w:val="71847D"/>
        </w:rPr>
        <w:t>可在当前会话补充这些信息，必要时再修订报告；未确认的情形不计为新增风险。</w:t>
      </w:r>
    </w:p>
    <w:p>
      <w:pPr>
        <w:pStyle w:val="ListBullet"/>
      </w:pPr>
      <w:r>
        <w:t>招聘主体、HR所属公司、培训主体、收费主体分别是谁，三者是什么关系？</w:t>
      </w:r>
    </w:p>
    <w:p>
      <w:pPr>
        <w:pStyle w:val="ListBullet"/>
      </w:pPr>
      <w:r>
        <w:t>对方是否愿意书面确认“不参加9800元培训能否正常应聘该岗位”？</w:t>
      </w:r>
    </w:p>
    <w:p>
      <w:pPr>
        <w:pStyle w:val="ListBullet"/>
      </w:pPr>
      <w:r>
        <w:t>9800元的收款账户是公司对公账户还是个人账户？分期是机构内部分期还是第三方贷款？</w:t>
      </w:r>
    </w:p>
    <w:p>
      <w:pPr>
        <w:pStyle w:val="ListBullet"/>
      </w:pPr>
      <w:r>
        <w:t>培训结束后是直接入职，还是仅推荐面试？未安排工作是否退费、退多少、何时退？</w:t>
      </w:r>
    </w:p>
    <w:p>
      <w:pPr>
        <w:pStyle w:val="ListBullet"/>
      </w:pPr>
      <w:r>
        <w:t>是否已拿到培训协议全文、收费明细、退费规则和服务期/违约条款？</w:t>
      </w:r>
    </w:p>
    <w:p>
      <w:pPr>
        <w:pStyle w:val="Heading2"/>
      </w:pPr>
      <w:r>
        <w:t>官方核查入口</w:t>
      </w:r>
    </w:p>
    <w:p>
      <w:r>
        <w:rPr>
          <w:color w:val="71847D"/>
        </w:rPr>
        <w:t>以下为查询入口，报告没有代你查询企业或核验资质。企业登记正常也不能证明岗位安全。</w:t>
      </w:r>
    </w:p>
    <w:p>
      <w:r>
        <w:rPr>
          <w:b/>
        </w:rPr>
        <w:t xml:space="preserve">企业登记查询  </w:t>
      </w:r>
      <w:r/>
      <w:hyperlink r:id="rId12" w:history="1">
        <w:r>
          <w:rPr>
            <w:rStyle w:val="Hyperlink"/>
            <w:u w:val="single"/>
            <w:color w:val="287B65"/>
          </w:rPr>
          <w:t>国家企业信用信息公示系统 https://www.gsxt.gov.cn/</w:t>
        </w:r>
      </w:hyperlink>
    </w:p>
    <w:p>
      <w:r>
        <w:rPr>
          <w:b/>
        </w:rPr>
        <w:t xml:space="preserve">人社咨询与办事  </w:t>
      </w:r>
      <w:r/>
      <w:hyperlink r:id="rId13" w:history="1">
        <w:r>
          <w:rPr>
            <w:rStyle w:val="Hyperlink"/>
            <w:u w:val="single"/>
            <w:color w:val="287B65"/>
          </w:rPr>
          <w:t>全国人力资源和社会保障政务服务平台 https://www.12333.gov.cn/</w:t>
        </w:r>
      </w:hyperlink>
    </w:p>
    <w:p>
      <w:r>
        <w:rPr>
          <w:color w:val="71847D"/>
        </w:rPr>
        <w:t>人社咨询电话：12333。具体业务以所在地人社部门受理范围为准。</w:t>
      </w:r>
    </w:p>
    <w:p>
      <w:pPr>
        <w:pStyle w:val="Heading1"/>
      </w:pPr>
      <w:r>
        <w:t>04  依据与来源</w:t>
      </w:r>
    </w:p>
    <w:p>
      <w:r>
        <w:rPr>
          <w:color w:val="71847D"/>
        </w:rPr>
        <w:t>法条、风险提示、指南及案例分别标注；案例结论只用于个案参考。</w:t>
      </w:r>
    </w:p>
    <w:p>
      <w:pPr>
        <w:pStyle w:val="Heading2"/>
        <w:keepNext/>
      </w:pPr>
      <w:r>
        <w:t>K001  中华人民共和国劳动合同法</w:t>
      </w:r>
    </w:p>
    <w:p>
      <w:pPr>
        <w:spacing w:line="288" w:lineRule="auto" w:after="80"/>
      </w:pPr>
      <w:r>
        <w:rPr>
          <w:color w:val="71847D"/>
          <w:sz w:val="19"/>
        </w:rPr>
        <w:t>法律条文</w:t>
      </w:r>
    </w:p>
    <w:p>
      <w:pPr>
        <w:spacing w:line="288" w:lineRule="auto" w:after="80"/>
      </w:pPr>
      <w:r>
        <w:rPr>
          <w:b/>
          <w:sz w:val="19"/>
        </w:rPr>
        <w:t xml:space="preserve">资料核对日期  </w:t>
      </w:r>
      <w:r>
        <w:rPr>
          <w:color w:val="71847D"/>
          <w:sz w:val="19"/>
        </w:rPr>
        <w:t>2026-10-08</w:t>
      </w:r>
    </w:p>
    <w:p>
      <w:pPr>
        <w:spacing w:line="288" w:lineRule="auto" w:after="80"/>
      </w:pPr>
      <w:r>
        <w:rPr>
          <w:b/>
          <w:sz w:val="19"/>
        </w:rPr>
        <w:t xml:space="preserve">原文链接  </w:t>
      </w:r>
      <w:r>
        <w:rPr>
          <w:sz w:val="19"/>
        </w:rPr>
      </w:r>
      <w:hyperlink r:id="rId14" w:history="1">
        <w:r>
          <w:rPr>
            <w:rStyle w:val="Hyperlink"/>
            <w:u w:val="single"/>
            <w:color w:val="287B65"/>
          </w:rPr>
          <w:t>点击打开官方原文</w:t>
        </w:r>
      </w:hyperlink>
    </w:p>
    <w:p>
      <w:pPr>
        <w:keepNext/>
        <w:spacing w:line="288" w:lineRule="auto" w:after="80"/>
      </w:pPr>
      <w:bookmarkStart w:id="1000" w:name="source_K001"/>
      <w:r>
        <w:rPr>
          <w:b/>
          <w:sz w:val="19"/>
        </w:rPr>
        <w:t>K001 · 第九条</w:t>
      </w:r>
      <w:bookmarkEnd w:id="1000"/>
    </w:p>
    <w:p>
      <w:pPr>
        <w:spacing w:line="288" w:lineRule="auto" w:after="80"/>
      </w:pPr>
      <w:r>
        <w:rPr>
          <w:sz w:val="19"/>
        </w:rPr>
        <w:t>第九条　用人单位招用劳动者，不得扣押劳动者的居民身份证和其他证件，不得要求劳动者提供担保或者以其他名义向劳动者收取财物。</w:t>
      </w:r>
    </w:p>
    <w:p>
      <w:pPr>
        <w:keepNext/>
        <w:spacing w:line="288" w:lineRule="auto" w:after="80"/>
      </w:pPr>
      <w:bookmarkStart w:id="1002" w:name="source_LCL_022"/>
      <w:r>
        <w:rPr>
          <w:b/>
          <w:sz w:val="19"/>
        </w:rPr>
        <w:t>LCL-022 · 第二十二条</w:t>
      </w:r>
      <w:bookmarkEnd w:id="1002"/>
    </w:p>
    <w:p>
      <w:pPr>
        <w:spacing w:line="288" w:lineRule="auto" w:after="80"/>
      </w:pPr>
      <w:r>
        <w:rPr>
          <w:sz w:val="19"/>
        </w:rPr>
        <w:t>第二十二条　用人单位为劳动者提供专项培训费用，对其进行专业技术培训的，可以与该劳动者订立协议，约定服务期。</w:t>
      </w:r>
      <w:r>
        <w:rPr>
          <w:sz w:val="19"/>
        </w:rPr>
        <w:br/>
      </w:r>
      <w:r>
        <w:rPr>
          <w:sz w:val="19"/>
        </w:rPr>
        <w:t>劳动者违反服务期约定的，应当按照约定向用人单位支付违约金。违约金的数额不得超过用人单位提供的培训费用。用人单位要求劳动者支付的违约金不得超过服务期尚未履行部分所应分摊的培训费用。</w:t>
      </w:r>
      <w:r>
        <w:rPr>
          <w:sz w:val="19"/>
        </w:rPr>
        <w:br/>
      </w:r>
      <w:r>
        <w:rPr>
          <w:sz w:val="19"/>
        </w:rPr>
        <w:t>用人单位与劳动者约定服务期的，不影响按照正常的工资调整机制提高劳动者在服务期期间的劳动报酬。</w:t>
      </w:r>
    </w:p>
    <w:p>
      <w:pPr>
        <w:spacing w:line="288" w:lineRule="auto" w:after="80"/>
      </w:pPr>
      <w:r>
        <w:rPr>
          <w:b/>
          <w:sz w:val="19"/>
        </w:rPr>
        <w:t xml:space="preserve">适用边界 K001  </w:t>
      </w:r>
      <w:r>
        <w:rPr>
          <w:sz w:val="19"/>
        </w:rPr>
        <w:t>涉及证件时，核实是否处于招用环节、证件类别及实际保管方式，区分临时核验与扣押或拒不归还；涉及收费或担保时，核实收费主体、行为和用途，不把独立合法培训服务或所有贷款自动套入本条。证件和收费是本条两类不同禁止行为，分别分析。</w:t>
      </w:r>
    </w:p>
    <w:p>
      <w:pPr>
        <w:spacing w:line="288" w:lineRule="auto" w:after="80"/>
      </w:pPr>
      <w:r>
        <w:rPr>
          <w:b/>
          <w:sz w:val="19"/>
        </w:rPr>
        <w:t xml:space="preserve">适用边界 LCL-022  </w:t>
      </w:r>
      <w:r>
        <w:rPr>
          <w:sz w:val="19"/>
        </w:rPr>
        <w:t>须核实本条适用条件、例外和用户事实，并结合关联条款及相关配套规定；不得直接凭法条认定个案违法。</w:t>
      </w:r>
    </w:p>
    <w:p>
      <w:pPr>
        <w:pStyle w:val="Heading2"/>
        <w:keepNext/>
      </w:pPr>
      <w:r>
        <w:t>SUP-L-market  人力资源市场暂行条例</w:t>
      </w:r>
    </w:p>
    <w:p>
      <w:pPr>
        <w:spacing w:line="288" w:lineRule="auto" w:after="80"/>
      </w:pPr>
      <w:r>
        <w:rPr>
          <w:color w:val="71847D"/>
          <w:sz w:val="19"/>
        </w:rPr>
        <w:t>法律条文</w:t>
      </w:r>
    </w:p>
    <w:p>
      <w:pPr>
        <w:spacing w:line="288" w:lineRule="auto" w:after="80"/>
      </w:pPr>
      <w:r>
        <w:rPr>
          <w:b/>
          <w:sz w:val="19"/>
        </w:rPr>
        <w:t xml:space="preserve">资料核对日期  </w:t>
      </w:r>
      <w:r>
        <w:rPr>
          <w:color w:val="71847D"/>
          <w:sz w:val="19"/>
        </w:rPr>
        <w:t>2026-10-08</w:t>
      </w:r>
    </w:p>
    <w:p>
      <w:pPr>
        <w:spacing w:line="288" w:lineRule="auto" w:after="80"/>
      </w:pPr>
      <w:r>
        <w:rPr>
          <w:b/>
          <w:sz w:val="19"/>
        </w:rPr>
        <w:t xml:space="preserve">原文链接  </w:t>
      </w:r>
      <w:r>
        <w:rPr>
          <w:sz w:val="19"/>
        </w:rPr>
      </w:r>
      <w:hyperlink r:id="rId15" w:history="1">
        <w:r>
          <w:rPr>
            <w:rStyle w:val="Hyperlink"/>
            <w:u w:val="single"/>
            <w:color w:val="287B65"/>
          </w:rPr>
          <w:t>点击打开官方原文</w:t>
        </w:r>
      </w:hyperlink>
    </w:p>
    <w:p>
      <w:pPr>
        <w:keepNext/>
        <w:spacing w:line="288" w:lineRule="auto" w:after="80"/>
      </w:pPr>
      <w:bookmarkStart w:id="1001" w:name="source_SUP_L_market"/>
      <w:r>
        <w:rPr>
          <w:b/>
          <w:sz w:val="19"/>
        </w:rPr>
        <w:t>SUP-L-market · 第十八条</w:t>
      </w:r>
      <w:bookmarkEnd w:id="1001"/>
    </w:p>
    <w:p>
      <w:pPr>
        <w:spacing w:line="288" w:lineRule="auto" w:after="80"/>
      </w:pPr>
      <w:r>
        <w:rPr>
          <w:sz w:val="19"/>
        </w:rPr>
        <w:t>第十八条　经营性人力资源服务机构从事职业中介活动的，应当依法向人力资源社会保障行政部门申请行政许可，取得人力资源服务许可证。</w:t>
      </w:r>
      <w:r>
        <w:rPr>
          <w:sz w:val="19"/>
        </w:rPr>
        <w:br/>
      </w:r>
      <w:r>
        <w:rPr>
          <w:sz w:val="19"/>
        </w:rPr>
        <w:t xml:space="preserve">　　经营性人力资源服务机构开展人力资源供求信息的收集和发布、就业和创业指导、人力资源管理咨询、人力资源测评、人力资源培训、承接人力资源服务外包等人力资源服务业务的，应当自开展业务之日起15日内向人力资源社会保障行政部门备案。</w:t>
      </w:r>
      <w:r>
        <w:rPr>
          <w:sz w:val="19"/>
        </w:rPr>
        <w:br/>
      </w:r>
      <w:r>
        <w:rPr>
          <w:sz w:val="19"/>
        </w:rPr>
        <w:t xml:space="preserve">　　经营性人力资源服务机构从事劳务派遣业务的，执行国家有关劳务派遣的规定。</w:t>
      </w:r>
    </w:p>
    <w:p>
      <w:pPr>
        <w:spacing w:line="288" w:lineRule="auto" w:after="80"/>
      </w:pPr>
      <w:r>
        <w:rPr>
          <w:b/>
          <w:sz w:val="19"/>
        </w:rPr>
        <w:t xml:space="preserve">适用边界 SUP-L-market  </w:t>
      </w:r>
      <w:r>
        <w:rPr>
          <w:sz w:val="19"/>
        </w:rPr>
        <w:t>必须核对适用条件、例外、时间、地域及用户事实；不代替司法或行政认定。</w:t>
      </w:r>
    </w:p>
    <w:p>
      <w:pPr>
        <w:pStyle w:val="Heading2"/>
        <w:keepNext/>
      </w:pPr>
      <w:r>
        <w:t>LL-2018-068  中华人民共和国劳动法</w:t>
      </w:r>
    </w:p>
    <w:p>
      <w:pPr>
        <w:spacing w:line="288" w:lineRule="auto" w:after="80"/>
      </w:pPr>
      <w:r>
        <w:rPr>
          <w:color w:val="71847D"/>
          <w:sz w:val="19"/>
        </w:rPr>
        <w:t>法律条文</w:t>
      </w:r>
    </w:p>
    <w:p>
      <w:pPr>
        <w:spacing w:line="288" w:lineRule="auto" w:after="80"/>
      </w:pPr>
      <w:r>
        <w:rPr>
          <w:b/>
          <w:sz w:val="19"/>
        </w:rPr>
        <w:t xml:space="preserve">资料核对日期  </w:t>
      </w:r>
      <w:r>
        <w:rPr>
          <w:color w:val="71847D"/>
          <w:sz w:val="19"/>
        </w:rPr>
        <w:t>2026-10-08</w:t>
      </w:r>
    </w:p>
    <w:p>
      <w:pPr>
        <w:spacing w:line="288" w:lineRule="auto" w:after="80"/>
      </w:pPr>
      <w:r>
        <w:rPr>
          <w:b/>
          <w:sz w:val="19"/>
        </w:rPr>
        <w:t xml:space="preserve">原文链接  </w:t>
      </w:r>
      <w:r>
        <w:rPr>
          <w:sz w:val="19"/>
        </w:rPr>
      </w:r>
      <w:hyperlink r:id="rId16" w:history="1">
        <w:r>
          <w:rPr>
            <w:rStyle w:val="Hyperlink"/>
            <w:u w:val="single"/>
            <w:color w:val="287B65"/>
          </w:rPr>
          <w:t>点击打开官方原文</w:t>
        </w:r>
      </w:hyperlink>
    </w:p>
    <w:p>
      <w:pPr>
        <w:keepNext/>
        <w:spacing w:line="288" w:lineRule="auto" w:after="80"/>
      </w:pPr>
      <w:bookmarkStart w:id="1003" w:name="source_LL_2018_068"/>
      <w:r>
        <w:rPr>
          <w:b/>
          <w:sz w:val="19"/>
        </w:rPr>
        <w:t>LL-2018-068 · 第六十八条</w:t>
      </w:r>
      <w:bookmarkEnd w:id="1003"/>
    </w:p>
    <w:p>
      <w:pPr>
        <w:spacing w:line="288" w:lineRule="auto" w:after="80"/>
      </w:pPr>
      <w:r>
        <w:rPr>
          <w:sz w:val="19"/>
        </w:rPr>
        <w:t>第六十八条</w:t>
      </w:r>
      <w:r>
        <w:rPr>
          <w:sz w:val="19"/>
        </w:rPr>
        <w:br/>
      </w:r>
      <w:r>
        <w:rPr>
          <w:sz w:val="19"/>
        </w:rPr>
        <w:t>用人单位应当建立职业培训制度，按照国家规定提取和使用职业培训经费，根据本单位实际，有计划地对劳动者进行职业培训。</w:t>
      </w:r>
      <w:r>
        <w:rPr>
          <w:sz w:val="19"/>
        </w:rPr>
        <w:br/>
      </w:r>
      <w:r>
        <w:rPr>
          <w:sz w:val="19"/>
        </w:rPr>
        <w:t>从事技术工种的劳动者，上岗前必须经过培训。</w:t>
      </w:r>
    </w:p>
    <w:p>
      <w:pPr>
        <w:spacing w:line="288" w:lineRule="auto" w:after="80"/>
      </w:pPr>
      <w:r>
        <w:rPr>
          <w:b/>
          <w:sz w:val="19"/>
        </w:rPr>
        <w:t xml:space="preserve">适用边界 LL-2018-068  </w:t>
      </w:r>
      <w:r>
        <w:rPr>
          <w:sz w:val="19"/>
        </w:rPr>
        <w:t>须结合后续专门法律、行政法规、司法解释及工作地现行规定判断；本条完整原文不等于个案的全部适用依据。</w:t>
      </w:r>
    </w:p>
    <w:p>
      <w:pPr>
        <w:pStyle w:val="Heading2"/>
        <w:keepNext/>
      </w:pPr>
      <w:r>
        <w:t>K005  五部门警惕招转培、培训贷风险提示</w:t>
      </w:r>
    </w:p>
    <w:p>
      <w:pPr>
        <w:spacing w:line="288" w:lineRule="auto" w:after="80"/>
      </w:pPr>
      <w:r>
        <w:rPr>
          <w:color w:val="71847D"/>
          <w:sz w:val="19"/>
        </w:rPr>
        <w:t>官方风险提示</w:t>
      </w:r>
    </w:p>
    <w:p>
      <w:pPr>
        <w:spacing w:line="288" w:lineRule="auto" w:after="80"/>
      </w:pPr>
      <w:r>
        <w:rPr>
          <w:b/>
          <w:sz w:val="19"/>
        </w:rPr>
        <w:t xml:space="preserve">资料核对日期  </w:t>
      </w:r>
      <w:r>
        <w:rPr>
          <w:color w:val="71847D"/>
          <w:sz w:val="19"/>
        </w:rPr>
        <w:t>2026-10-08</w:t>
      </w:r>
    </w:p>
    <w:p>
      <w:pPr>
        <w:spacing w:line="288" w:lineRule="auto" w:after="80"/>
      </w:pPr>
      <w:r>
        <w:rPr>
          <w:b/>
          <w:sz w:val="19"/>
        </w:rPr>
        <w:t xml:space="preserve">原文链接  </w:t>
      </w:r>
      <w:r>
        <w:rPr>
          <w:sz w:val="19"/>
        </w:rPr>
      </w:r>
      <w:hyperlink r:id="rId17" w:history="1">
        <w:r>
          <w:rPr>
            <w:rStyle w:val="Hyperlink"/>
            <w:u w:val="single"/>
            <w:color w:val="287B65"/>
          </w:rPr>
          <w:t>点击打开官方原文</w:t>
        </w:r>
      </w:hyperlink>
    </w:p>
    <w:p>
      <w:pPr>
        <w:spacing w:line="288" w:lineRule="auto" w:after="80"/>
      </w:pPr>
      <w:r>
        <w:rPr>
          <w:b/>
          <w:sz w:val="19"/>
        </w:rPr>
        <w:t xml:space="preserve">备用官方页面  </w:t>
      </w:r>
      <w:r>
        <w:rPr>
          <w:sz w:val="19"/>
        </w:rPr>
      </w:r>
      <w:hyperlink r:id="rId18" w:history="1">
        <w:r>
          <w:rPr>
            <w:rStyle w:val="Hyperlink"/>
            <w:u w:val="single"/>
            <w:color w:val="287B65"/>
          </w:rPr>
          <w:t>点击打开备用官方页面</w:t>
        </w:r>
      </w:hyperlink>
    </w:p>
    <w:p>
      <w:pPr>
        <w:keepNext/>
        <w:spacing w:line="288" w:lineRule="auto" w:after="80"/>
      </w:pPr>
      <w:bookmarkStart w:id="1004" w:name="source_K005"/>
      <w:r>
        <w:rPr>
          <w:b/>
          <w:sz w:val="19"/>
        </w:rPr>
        <w:t>K005 · 风险提示第三项</w:t>
      </w:r>
      <w:bookmarkEnd w:id="1004"/>
    </w:p>
    <w:p>
      <w:pPr>
        <w:spacing w:line="288" w:lineRule="auto" w:after="80"/>
      </w:pPr>
      <w:r>
        <w:rPr>
          <w:sz w:val="19"/>
        </w:rPr>
        <w:t>求职者面对求职过程中以各种理由要求参加需支付高额费用的培训，才能够安排岗位的情况，应果断拒绝。确有需求参加培训的，应核实培训机构是否具备依法审批的许可资质，是否含有不合理收费项目、贷款内容。</w:t>
      </w:r>
    </w:p>
    <w:p>
      <w:pPr>
        <w:keepNext/>
        <w:spacing w:line="288" w:lineRule="auto" w:after="80"/>
      </w:pPr>
      <w:bookmarkStart w:id="1005" w:name="source_K006"/>
      <w:r>
        <w:rPr>
          <w:b/>
          <w:sz w:val="19"/>
        </w:rPr>
        <w:t>K006 · 风险提示第四项</w:t>
      </w:r>
      <w:bookmarkEnd w:id="1005"/>
    </w:p>
    <w:p>
      <w:pPr>
        <w:spacing w:line="288" w:lineRule="auto" w:after="80"/>
      </w:pPr>
      <w:r>
        <w:rPr>
          <w:sz w:val="19"/>
        </w:rPr>
        <w:t>签订涉及贷款的协议，务必核实放款方资质、贷款利率、还款方式及违约责任。慎重在平台注册信息及办理贷款，坚持理性借贷，避免过度负债，切勿轻信“免息分期”“低门槛、秒到账”等承诺，避免陷入非法债务纠纷。</w:t>
      </w:r>
    </w:p>
    <w:p>
      <w:pPr>
        <w:spacing w:line="288" w:lineRule="auto" w:after="80"/>
      </w:pPr>
      <w:r>
        <w:rPr>
          <w:b/>
          <w:sz w:val="19"/>
        </w:rPr>
        <w:t xml:space="preserve">适用边界 K005  </w:t>
      </w:r>
      <w:r>
        <w:rPr>
          <w:sz w:val="19"/>
        </w:rPr>
        <w:t>官方风险提示不是违法认定；结合招聘、培训、贷款主体及协议分析。</w:t>
      </w:r>
    </w:p>
    <w:p>
      <w:pPr>
        <w:spacing w:line="288" w:lineRule="auto" w:after="80"/>
      </w:pPr>
      <w:r>
        <w:rPr>
          <w:b/>
          <w:sz w:val="19"/>
        </w:rPr>
        <w:t xml:space="preserve">适用边界 K006  </w:t>
      </w:r>
      <w:r>
        <w:rPr>
          <w:sz w:val="19"/>
        </w:rPr>
        <w:t>分期是否属于贷款要看协议和主体；不能仅凭分期二字认定违法。</w:t>
      </w:r>
    </w:p>
    <w:p>
      <w:pPr>
        <w:pStyle w:val="Heading2"/>
        <w:keepNext/>
      </w:pPr>
      <w:r>
        <w:t>K007  五部门警惕招转培、培训贷风险提示</w:t>
      </w:r>
    </w:p>
    <w:p>
      <w:pPr>
        <w:spacing w:line="288" w:lineRule="auto" w:after="80"/>
      </w:pPr>
      <w:r>
        <w:rPr>
          <w:color w:val="71847D"/>
          <w:sz w:val="19"/>
        </w:rPr>
        <w:t>办事与证据指南</w:t>
      </w:r>
    </w:p>
    <w:p>
      <w:pPr>
        <w:spacing w:line="288" w:lineRule="auto" w:after="80"/>
      </w:pPr>
      <w:r>
        <w:rPr>
          <w:b/>
          <w:sz w:val="19"/>
        </w:rPr>
        <w:t xml:space="preserve">资料核对日期  </w:t>
      </w:r>
      <w:r>
        <w:rPr>
          <w:color w:val="71847D"/>
          <w:sz w:val="19"/>
        </w:rPr>
        <w:t>2026-10-08</w:t>
      </w:r>
    </w:p>
    <w:p>
      <w:pPr>
        <w:spacing w:line="288" w:lineRule="auto" w:after="80"/>
      </w:pPr>
      <w:r>
        <w:rPr>
          <w:color w:val="71847D"/>
          <w:sz w:val="19"/>
        </w:rPr>
        <w:t>关联官方原文见前述同一网址的原文链接。</w:t>
      </w:r>
    </w:p>
    <w:p>
      <w:pPr>
        <w:keepNext/>
        <w:spacing w:line="288" w:lineRule="auto" w:after="80"/>
      </w:pPr>
      <w:bookmarkStart w:id="1006" w:name="source_K007"/>
      <w:r>
        <w:rPr>
          <w:b/>
          <w:sz w:val="19"/>
        </w:rPr>
        <w:t>K007 · 风险提示第五项</w:t>
      </w:r>
      <w:bookmarkEnd w:id="1006"/>
    </w:p>
    <w:p>
      <w:pPr>
        <w:spacing w:line="288" w:lineRule="auto" w:after="80"/>
      </w:pPr>
      <w:r>
        <w:rPr>
          <w:sz w:val="19"/>
        </w:rPr>
        <w:t>求职者要注意保留相关聊天记录、协议文本和转账凭证等，为可能的纠纷留存证据。如果落入骗局，请向人力资源社会保障部门投诉举报，或向公安机关报案。</w:t>
      </w:r>
    </w:p>
    <w:p>
      <w:pPr>
        <w:spacing w:line="288" w:lineRule="auto" w:after="80"/>
      </w:pPr>
      <w:r>
        <w:rPr>
          <w:b/>
          <w:sz w:val="19"/>
        </w:rPr>
        <w:t xml:space="preserve">适用边界 K007  </w:t>
      </w:r>
      <w:r>
        <w:rPr>
          <w:sz w:val="19"/>
        </w:rPr>
        <w:t>是否存在骗局或适用具体程序仍要核实；不自动替用户投诉或报案。</w:t>
      </w:r>
    </w:p>
    <w:p>
      <w:pPr>
        <w:pStyle w:val="Heading2"/>
        <w:keepNext/>
      </w:pPr>
      <w:r>
        <w:t>O003-facts  虚构化妆师助理岗位、招聘转为收费培训</w:t>
      </w:r>
    </w:p>
    <w:p>
      <w:pPr>
        <w:spacing w:line="288" w:lineRule="auto" w:after="80"/>
      </w:pPr>
      <w:r>
        <w:rPr>
          <w:color w:val="71847D"/>
          <w:sz w:val="19"/>
        </w:rPr>
        <w:t>案例参考</w:t>
      </w:r>
    </w:p>
    <w:p>
      <w:pPr>
        <w:spacing w:line="288" w:lineRule="auto" w:after="80"/>
      </w:pPr>
      <w:r>
        <w:rPr>
          <w:b/>
          <w:sz w:val="19"/>
        </w:rPr>
        <w:t xml:space="preserve">资料核对日期  </w:t>
      </w:r>
      <w:r>
        <w:rPr>
          <w:color w:val="71847D"/>
          <w:sz w:val="19"/>
        </w:rPr>
        <w:t>2026-10-08</w:t>
      </w:r>
    </w:p>
    <w:p>
      <w:pPr>
        <w:spacing w:line="288" w:lineRule="auto" w:after="80"/>
      </w:pPr>
      <w:r>
        <w:rPr>
          <w:b/>
          <w:sz w:val="19"/>
        </w:rPr>
        <w:t xml:space="preserve">原文链接  </w:t>
      </w:r>
      <w:r>
        <w:rPr>
          <w:sz w:val="19"/>
        </w:rPr>
      </w:r>
      <w:hyperlink r:id="rId19" w:history="1">
        <w:r>
          <w:rPr>
            <w:rStyle w:val="Hyperlink"/>
            <w:u w:val="single"/>
            <w:color w:val="287B65"/>
          </w:rPr>
          <w:t>点击打开官方原文</w:t>
        </w:r>
      </w:hyperlink>
    </w:p>
    <w:p>
      <w:pPr>
        <w:keepNext/>
        <w:spacing w:line="288" w:lineRule="auto" w:after="80"/>
      </w:pPr>
      <w:bookmarkStart w:id="1007" w:name="source_O003_facts"/>
      <w:r>
        <w:rPr>
          <w:b/>
          <w:sz w:val="19"/>
        </w:rPr>
        <w:t>O003-facts · 第7项：山东青岛两公司“招转培”案件 · 调查事实</w:t>
      </w:r>
      <w:bookmarkEnd w:id="1007"/>
    </w:p>
    <w:p>
      <w:pPr>
        <w:spacing w:line="288" w:lineRule="auto" w:after="80"/>
      </w:pPr>
      <w:r>
        <w:rPr>
          <w:sz w:val="19"/>
        </w:rPr>
        <w:t>【官方发布案例的核对摘要，非完整裁判文书】青岛某文化服务公司没有化妆师岗位，却招聘化妆师助理；面试时以缺乏经验为由，引导求职者与另一科技公司签培训协议。</w:t>
      </w:r>
    </w:p>
    <w:p>
      <w:pPr>
        <w:keepNext/>
        <w:spacing w:line="288" w:lineRule="auto" w:after="80"/>
      </w:pPr>
      <w:bookmarkStart w:id="1008" w:name="source_O003_reasoning"/>
      <w:r>
        <w:rPr>
          <w:b/>
          <w:sz w:val="19"/>
        </w:rPr>
        <w:t>O003-reasoning · 第7项：山东青岛两公司“招转培”案件 · 执法认定</w:t>
      </w:r>
      <w:bookmarkEnd w:id="1008"/>
    </w:p>
    <w:p>
      <w:pPr>
        <w:spacing w:line="288" w:lineRule="auto" w:after="80"/>
      </w:pPr>
      <w:r>
        <w:rPr>
          <w:sz w:val="19"/>
        </w:rPr>
        <w:t>【官方发布案例的核对摘要，非完整裁判文书】人社部门查明虚假招聘信息，以及另一公司未经许可开展职业技能培训和职业中介活动。</w:t>
      </w:r>
    </w:p>
    <w:p>
      <w:pPr>
        <w:keepNext/>
        <w:spacing w:line="288" w:lineRule="auto" w:after="80"/>
      </w:pPr>
      <w:bookmarkStart w:id="1009" w:name="source_O003_outcome"/>
      <w:r>
        <w:rPr>
          <w:b/>
          <w:sz w:val="19"/>
        </w:rPr>
        <w:t>O003-outcome · 第7项：山东青岛两公司“招转培”案件 · 处理结果</w:t>
      </w:r>
      <w:bookmarkEnd w:id="1009"/>
    </w:p>
    <w:p>
      <w:pPr>
        <w:spacing w:line="288" w:lineRule="auto" w:after="80"/>
      </w:pPr>
      <w:r>
        <w:rPr>
          <w:sz w:val="19"/>
        </w:rPr>
        <w:t>【官方发布案例的核对摘要，非完整裁判文书】责令限期改正、关闭职业中介、停止办学、退还所收费用。官方未披露退款完成或刑事判决。</w:t>
      </w:r>
    </w:p>
    <w:p>
      <w:pPr>
        <w:spacing w:line="288" w:lineRule="auto" w:after="80"/>
      </w:pPr>
      <w:r>
        <w:rPr>
          <w:b/>
          <w:sz w:val="19"/>
        </w:rPr>
        <w:t xml:space="preserve">适用边界 O003-facts、O003-reasoning、O003-outcome  </w:t>
      </w:r>
      <w:r>
        <w:rPr>
          <w:sz w:val="19"/>
        </w:rPr>
        <w:t>仅收录官方行政处理结果；责令退费不等于所有求职者已实际收到退款。</w:t>
      </w:r>
    </w:p>
    <w:p>
      <w:pPr>
        <w:pStyle w:val="Heading1"/>
      </w:pPr>
      <w:r>
        <w:t>05  来源核对详情</w:t>
      </w:r>
    </w:p>
    <w:p>
      <w:pPr>
        <w:keepNext/>
      </w:pPr>
      <w:r>
        <w:rPr>
          <w:color w:val="287B65"/>
        </w:rPr>
        <w:t>K001、LCL-022</w:t>
      </w:r>
    </w:p>
    <w:p>
      <w:r>
        <w:rPr>
          <w:b/>
        </w:rPr>
        <w:t xml:space="preserve">法律制定机关  </w:t>
      </w:r>
      <w:r>
        <w:rPr>
          <w:color w:val="71847D"/>
        </w:rPr>
        <w:t>全国人民代表大会常务委员会</w:t>
      </w:r>
    </w:p>
    <w:p>
      <w:r>
        <w:rPr>
          <w:b/>
        </w:rPr>
        <w:t xml:space="preserve">原文载体  </w:t>
      </w:r>
      <w:r>
        <w:rPr>
          <w:color w:val="71847D"/>
        </w:rPr>
        <w:t>国家法律法规数据库 全国人大常委会办公厅</w:t>
      </w:r>
    </w:p>
    <w:p>
      <w:pPr>
        <w:keepNext/>
      </w:pPr>
      <w:r>
        <w:rPr>
          <w:color w:val="287B65"/>
        </w:rPr>
        <w:t>SUP-L-market</w:t>
      </w:r>
    </w:p>
    <w:p>
      <w:r>
        <w:rPr>
          <w:b/>
        </w:rPr>
        <w:t xml:space="preserve">法律法规制定机关  </w:t>
      </w:r>
      <w:r>
        <w:rPr>
          <w:color w:val="71847D"/>
        </w:rPr>
        <w:t>国务院</w:t>
      </w:r>
    </w:p>
    <w:p>
      <w:r>
        <w:rPr>
          <w:b/>
        </w:rPr>
        <w:t xml:space="preserve">原文载体  </w:t>
      </w:r>
      <w:r>
        <w:rPr>
          <w:color w:val="71847D"/>
        </w:rPr>
        <w:t>国家法律法规数据库 全国人大常委会办公厅</w:t>
      </w:r>
    </w:p>
    <w:p>
      <w:r>
        <w:rPr>
          <w:b/>
        </w:rPr>
        <w:t xml:space="preserve">核对说明  </w:t>
      </w:r>
      <w:r>
        <w:rPr>
          <w:color w:val="71847D"/>
        </w:rPr>
        <w:t>已在全国人大数据库具体记录核对标题、版本及有效状态；正文未在本轮逐字重新核验。</w:t>
      </w:r>
    </w:p>
    <w:p>
      <w:pPr>
        <w:keepNext/>
      </w:pPr>
      <w:r>
        <w:rPr>
          <w:color w:val="287B65"/>
        </w:rPr>
        <w:t>LL-2018-068</w:t>
      </w:r>
    </w:p>
    <w:p>
      <w:r>
        <w:rPr>
          <w:b/>
        </w:rPr>
        <w:t xml:space="preserve">法律制定机关  </w:t>
      </w:r>
      <w:r>
        <w:rPr>
          <w:color w:val="71847D"/>
        </w:rPr>
        <w:t>全国人民代表大会常务委员会</w:t>
      </w:r>
    </w:p>
    <w:p>
      <w:r>
        <w:rPr>
          <w:b/>
        </w:rPr>
        <w:t xml:space="preserve">原文载体  </w:t>
      </w:r>
      <w:r>
        <w:rPr>
          <w:color w:val="71847D"/>
        </w:rPr>
        <w:t>国家法律法规数据库 全国人大常委会办公厅</w:t>
      </w:r>
    </w:p>
    <w:p>
      <w:pPr>
        <w:keepNext/>
      </w:pPr>
      <w:r>
        <w:rPr>
          <w:color w:val="287B65"/>
        </w:rPr>
        <w:t>K005、K006</w:t>
      </w:r>
    </w:p>
    <w:p>
      <w:r>
        <w:rPr>
          <w:b/>
        </w:rPr>
        <w:t xml:space="preserve">发布机构  </w:t>
      </w:r>
      <w:r>
        <w:rPr>
          <w:color w:val="71847D"/>
        </w:rPr>
        <w:t>人力资源和社会保障部、中央网络安全和信息化委员会办公室、教育部、公安部、国家金融监督管理总局</w:t>
      </w:r>
    </w:p>
    <w:p>
      <w:r>
        <w:rPr>
          <w:b/>
        </w:rPr>
        <w:t xml:space="preserve">原文载体  </w:t>
      </w:r>
      <w:r>
        <w:rPr>
          <w:color w:val="71847D"/>
        </w:rPr>
        <w:t>人力资源和社会保障部</w:t>
      </w:r>
    </w:p>
    <w:p>
      <w:r>
        <w:rPr>
          <w:b/>
        </w:rPr>
        <w:t xml:space="preserve">核对说明  </w:t>
      </w:r>
      <w:r>
        <w:rPr>
          <w:color w:val="71847D"/>
        </w:rPr>
        <w:t>原始发布页与备用官方页面均已核对；网页若加载缓慢，可尝试备用官方页面。</w:t>
      </w:r>
    </w:p>
    <w:p>
      <w:pPr>
        <w:keepNext/>
      </w:pPr>
      <w:r>
        <w:rPr>
          <w:color w:val="287B65"/>
        </w:rPr>
        <w:t>K007</w:t>
      </w:r>
    </w:p>
    <w:p>
      <w:r>
        <w:rPr>
          <w:b/>
        </w:rPr>
        <w:t xml:space="preserve">发布机构  </w:t>
      </w:r>
      <w:r>
        <w:rPr>
          <w:color w:val="71847D"/>
        </w:rPr>
        <w:t>人力资源和社会保障部、中央网络安全和信息化委员会办公室、教育部、公安部、国家金融监督管理总局</w:t>
      </w:r>
    </w:p>
    <w:p>
      <w:r>
        <w:rPr>
          <w:b/>
        </w:rPr>
        <w:t xml:space="preserve">原文载体  </w:t>
      </w:r>
      <w:r>
        <w:rPr>
          <w:color w:val="71847D"/>
        </w:rPr>
        <w:t>人力资源和社会保障部</w:t>
      </w:r>
    </w:p>
    <w:p>
      <w:r>
        <w:rPr>
          <w:b/>
        </w:rPr>
        <w:t xml:space="preserve">核对说明  </w:t>
      </w:r>
      <w:r>
        <w:rPr>
          <w:color w:val="71847D"/>
        </w:rPr>
        <w:t>原始发布页与备用官方页面均已核对；网页若加载缓慢，可尝试备用官方页面。</w:t>
      </w:r>
    </w:p>
    <w:p>
      <w:pPr>
        <w:keepNext/>
      </w:pPr>
      <w:r>
        <w:rPr>
          <w:color w:val="287B65"/>
        </w:rPr>
        <w:t>O003-facts、O003-reasoning、O003-outcome</w:t>
      </w:r>
    </w:p>
    <w:p>
      <w:r>
        <w:rPr>
          <w:b/>
        </w:rPr>
        <w:t xml:space="preserve">发布机构  </w:t>
      </w:r>
      <w:r>
        <w:rPr>
          <w:color w:val="71847D"/>
        </w:rPr>
        <w:t>人力资源和社会保障部</w:t>
      </w:r>
    </w:p>
    <w:p>
      <w:r>
        <w:rPr>
          <w:b/>
        </w:rPr>
        <w:t xml:space="preserve">原文载体  </w:t>
      </w:r>
      <w:r>
        <w:rPr>
          <w:color w:val="71847D"/>
        </w:rPr>
        <w:t>中国人力资源市场网 人力资源和社会保障部主办</w:t>
      </w:r>
    </w:p>
    <w:p>
      <w:r>
        <w:rPr>
          <w:b/>
        </w:rPr>
        <w:t xml:space="preserve">核对说明  </w:t>
      </w:r>
      <w:r>
        <w:rPr>
          <w:color w:val="71847D"/>
        </w:rPr>
        <w:t>已打开官方网页逐项核对；未独立调取完整裁判文书。日期为官网发布日期，不是裁判日期。</w:t>
      </w:r>
    </w:p>
    <w:p>
      <w:r>
        <w:rPr>
          <w:color w:val="71847D"/>
        </w:rPr>
        <w:t>资料核对日期不代表对用户事实完成外部核验。</w:t>
      </w:r>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spacing w:line="336" w:lineRule="auto" w:after="140" w:before="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gsxt.gov.cn/" TargetMode="External"/><Relationship Id="rId13" Type="http://schemas.openxmlformats.org/officeDocument/2006/relationships/hyperlink" Target="https://www.12333.gov.cn/" TargetMode="External"/><Relationship Id="rId14" Type="http://schemas.openxmlformats.org/officeDocument/2006/relationships/hyperlink" Target="https://flk.npc.gov.cn/detail?title=%E4%B8%AD%E5%8D%8E%E4%BA%BA%E6%B0%91%E5%85%B1%E5%92%8C%E5%9B%BD%E5%8A%B3%E5%8A%A8%E5%90%88%E5%90%8C%E6%B3%95&amp;id=2c909fdd678bf17901678bf74d7106b3" TargetMode="External"/><Relationship Id="rId15" Type="http://schemas.openxmlformats.org/officeDocument/2006/relationships/hyperlink" Target="https://flk.npc.gov.cn/detail?id=ff8080816f3cbb3c016f414082e71ee1&amp;title=%E4%BA%BA%E5%8A%9B%E8%B5%84%E6%BA%90%E5%B8%82%E5%9C%BA%E6%9A%82%E8%A1%8C%E6%9D%A1%E4%BE%8B" TargetMode="External"/><Relationship Id="rId16" Type="http://schemas.openxmlformats.org/officeDocument/2006/relationships/hyperlink" Target="https://flk.npc.gov.cn/detail?id=ff8080816f135f46016f20f16ee11737&amp;title=%E4%B8%AD%E5%8D%8E%E4%BA%BA%E6%B0%91%E5%85%B1%E5%92%8C%E5%9B%BD%E5%8A%B3%E5%8A%A8%E6%B3%95" TargetMode="External"/><Relationship Id="rId17" Type="http://schemas.openxmlformats.org/officeDocument/2006/relationships/hyperlink" Target="https://www.mohrss.gov.cn/wap/xw/rsxw/202605/t20260515_576264.html" TargetMode="External"/><Relationship Id="rId18" Type="http://schemas.openxmlformats.org/officeDocument/2006/relationships/hyperlink" Target="https://chinajob.mohrss.gov.cn/h5/c/2026-05-18/543038.shtml" TargetMode="External"/><Relationship Id="rId19" Type="http://schemas.openxmlformats.org/officeDocument/2006/relationships/hyperlink" Target="https://chrm.mohrss.gov.cn/?p=14881&amp;post_type=p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