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t>根据已提供的招聘信息、沟通内容与拟签材料进行风险自查。</w:t>
      </w:r>
    </w:p>
    <w:p>
      <w:r>
        <w:rPr>
          <w:color w:val="71847D"/>
        </w:rPr>
        <w:t>第 1 版  |  生成时间：2026-10-08 19:46</w:t>
      </w:r>
    </w:p>
    <w:p>
      <w:r>
        <w:rPr>
          <w:color w:val="71847D"/>
        </w:rPr>
        <w:t>本报告依据已提供材料进行风险提示；风险等级不是违法认定或风险概率。</w:t>
      </w:r>
    </w:p>
    <w:p>
      <w:pPr>
        <w:pStyle w:val="Heading1"/>
      </w:pPr>
      <w:r>
        <w:t>分析材料与用户说明</w:t>
      </w:r>
    </w:p>
    <w:p>
      <w:r>
        <w:rPr>
          <w:color w:val="71847D"/>
        </w:rPr>
        <w:t>以下保留生成本版报告前用户提供的完整文字，包括材料描述与分析请求；这是用户陈述，尚未外部核验。后续补充或纠正以较新说明为准。</w:t>
      </w:r>
    </w:p>
    <w:p>
      <w:pPr>
        <w:keepNext/>
      </w:pPr>
      <w:r>
        <w:rPr>
          <w:color w:val="71847D"/>
        </w:rPr>
        <w:t>第1次用户说明</w:t>
      </w:r>
    </w:p>
    <w:p>
      <w:r>
        <w:t>我是大四学生，正在找第一份工作，还没有入职、签协议或付款。招聘广告写：招聘软件测试助理，不要求工作经验，月薪6000—8000元，公司提供岗前培训，培训后安排工作。面试结束后，HR说我基础不足，需要先参加两个月培训，费用9800元。他说可以分期，不用现在一次性付清，并催我今天确认名额。我现在只拿到了招聘截图和这些聊天内容，还没看到培训协议，也不知道培训是谁提供、费用付给谁、分期是不是贷款。</w:t>
      </w:r>
    </w:p>
    <w:p>
      <w:pPr>
        <w:pStyle w:val="Heading1"/>
      </w:pPr>
      <w:r>
        <w:t>01  结论与风险概览</w:t>
      </w:r>
    </w:p>
    <w:p>
      <w:r>
        <w:t>这是典型的“招聘转付费培训”场景：招聘广告称公司提供岗前培训、培训后安排工作，面试后却以你能力不足为由，要求你先参加费用9800元的培训，并称可以分期、催你当天确认名额。官方五部门风险提示明确，求职过程中以各种理由要求参加需支付高额费用培训才能安排岗位的，应果断拒绝；确需培训应核实机构资质及是否含贷款内容。现阶段最应做的是：暂缓付款、暂缓签任何分期或借款文件、暂缓确认名额，先书面问清培训主体、收款方、分期性质，并保留全部聊天和招聘截图证据。</w:t>
      </w:r>
    </w:p>
    <w:p>
      <w:pPr>
        <w:pStyle w:val="Heading2"/>
      </w:pPr>
      <w:r>
        <w:t>签约与入职前，建议先做</w:t>
      </w:r>
    </w:p>
    <w:p>
      <w:r>
        <w:t>暂缓付款、签约与名额确认</w:t>
      </w:r>
    </w:p>
    <w:p>
      <w:pPr>
        <w:pStyle w:val="ListBullet"/>
      </w:pPr>
      <w:r>
        <w:t>先不要支付9800元或任何定金、诚意金、资料费，也不要办理分期、贷款或平台授信。</w:t>
      </w:r>
    </w:p>
    <w:p>
      <w:pPr>
        <w:pStyle w:val="ListBullet"/>
      </w:pPr>
      <w:r>
        <w:t>不交出身份证、银行卡、毕业证原件，不做人脸识别或征信授权；如对方要求核验，可先以复印件加注用途替代。</w:t>
      </w:r>
    </w:p>
    <w:p>
      <w:pPr>
        <w:pStyle w:val="ListBullet"/>
      </w:pPr>
      <w:r>
        <w:t>用微信或邮件书面问清五件事：培训提供方全称、费用收款方全称、分期是公司分期还是第三方贷款、培训后是否保证录用及拟签合同主体、岗位薪资构成与试用期。</w:t>
      </w:r>
    </w:p>
    <w:p>
      <w:pPr>
        <w:pStyle w:val="ListBullet"/>
      </w:pPr>
      <w:r>
        <w:t>要求对方先提供完整培训协议与分期协议文本，拿到纸质或电子文件后仔细核对：费用总额、违约责任、退款条件、服务期与竞业条款、是否包含授权查询征信的条款。</w:t>
      </w:r>
    </w:p>
    <w:p>
      <w:pPr>
        <w:pStyle w:val="ListBullet"/>
      </w:pPr>
      <w:r>
        <w:t>通过国家企业信用信息公示系统查询招聘公司与培训公司是否同一地址、同一法定代表人；通过当地人力资源社会保障部门官网或12333咨询该机构是否具备职业培训与职业中介许可。核查只能减少特定疑点，不代表岗位安全，也不构成继续付费求职的理由。</w:t>
      </w:r>
    </w:p>
    <w:p>
      <w:pPr>
        <w:pStyle w:val="ListBullet"/>
      </w:pPr>
      <w:r>
        <w:t>出现以下任一情形即退出：拒绝书面说明收费主体、拒绝提供协议文本、坚持先付款才谈岗位、声称不签分期即取消名额、或收费后只承诺“推荐面试”而不承诺录用。</w:t>
      </w:r>
    </w:p>
    <w:p>
      <w:r>
        <w:rPr>
          <w:color w:val="71847D"/>
        </w:rPr>
        <w:t>真正直接招聘员工的公司在录用前通常不会让求职者为“岗前培训”先自付高额费用再安排工作。把付费培训与获得岗位拆开判断：如果岗位本身不存在，付费培训就没有意义；如果你确实想学这项技能，也应作为独立消费决定，与本次求职分开评估、另行比较机构与价格。</w:t>
      </w:r>
    </w:p>
    <w:p>
      <w:r>
        <w:rPr>
          <w:b/>
        </w:rPr>
        <w:t xml:space="preserve">概览依据：  </w:t>
      </w:r>
      <w:r>
        <w:rPr>
          <w:color w:val="71847D"/>
        </w:rPr>
        <w:t>K005、K006、SUP-R002、SUP-A01、O003-facts、O004-facts</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招聘岗位疑似被转为高额付费培训（招转培）</w:t>
            </w:r>
          </w:p>
        </w:tc>
        <w:tc>
          <w:tcPr>
            <w:tcW w:type="dxa" w:w="5443"/>
          </w:tcPr>
          <w:p>
            <w:pPr>
              <w:spacing w:line="288" w:lineRule="auto" w:after="140" w:before="140"/>
            </w:pPr>
            <w:r>
              <w:rPr>
                <w:sz w:val="19"/>
              </w:rPr>
              <w:t>暂缓支付9800元，也暂缓以任何形式确认“名额”，不接受“今天不确认就没了”的催促。</w:t>
            </w:r>
          </w:p>
        </w:tc>
      </w:tr>
    </w:tbl>
    <w:p>
      <w:pPr>
        <w:pStyle w:val="Heading1"/>
      </w:pPr>
      <w:r>
        <w:t>02  风险详情</w:t>
      </w:r>
    </w:p>
    <w:p>
      <w:pPr>
        <w:pStyle w:val="Heading2"/>
        <w:keepNext/>
      </w:pPr>
      <w:r>
        <w:rPr>
          <w:color w:val="B85646"/>
        </w:rPr>
        <w:t>01  招聘岗位疑似被转为高额付费培训（招转培）  ·  高风险</w:t>
      </w:r>
    </w:p>
    <w:p>
      <w:pPr>
        <w:shd w:fill="F3F6F5"/>
      </w:pPr>
      <w:r>
        <w:rPr>
          <w:b/>
        </w:rPr>
        <w:t xml:space="preserve">材料原文  </w:t>
      </w:r>
      <w:r>
        <w:t>招聘广告写：招聘软件测试助理，不要求工作经验，月薪6000—8000元，公司提供岗前培训，培训后安排工作。</w:t>
      </w:r>
    </w:p>
    <w:p>
      <w:r>
        <w:rPr>
          <w:b/>
        </w:rPr>
        <w:t xml:space="preserve">原文位置  </w:t>
      </w:r>
      <w:r>
        <w:rPr>
          <w:color w:val="71847D"/>
        </w:rPr>
        <w:t>用户补充说明</w:t>
      </w:r>
    </w:p>
    <w:p>
      <w:r>
        <w:rPr>
          <w:b/>
        </w:rPr>
        <w:t xml:space="preserve">风险说明  </w:t>
      </w:r>
      <w:r>
        <w:t>招聘广告承诺“公司提供岗前培训，培训后安排工作”，但面试后HR以你基础不足为由，要求你先参加两个月培训、费用9800元（引材料原句），并称“可以分期，不用现在一次性付清”且催促你当天确认名额（引材料原句）。收费时间与方式尚未明确，但催促确认名额与分期说法都服务于同一笔9800元收费交易，应一并评估。这一前后变化与官方风险提示描述的“以招聘为名引导求职者参加需支付高额费用的培训才能安排岗位”高度吻合，五部门明确要求对此类情形果断拒绝。9800元相对广告月薪6000—8000元占比较高（约1.2至1.6个月工资），且“培训后安排工作”并非录用承诺，仍有以培训代替录用、甚至不实际安排岗位的风险；分期究竟属于公司内部付款安排还是第三方贷款，你目前也不清楚（引材料原句），若在岗位未落实前先签分期或借款文件，可能先行承担独立还款义务。目前尚不能认定对方违法或诈骗，但该风险已足以支持暂停付款与签约。人力社保部门公布的“招转培”案例中，存在公司无培训许可、以招聘名义诱导求职者培训牟利并被责令停止培训、退还费用的处理先例，可作个案参考，不是本案定性。</w:t>
      </w:r>
    </w:p>
    <w:p>
      <w:r>
        <w:rPr>
          <w:b/>
        </w:rPr>
        <w:t xml:space="preserve">分析依据  </w:t>
      </w:r>
      <w:r>
        <w:t>K005 · 五部门警惕招转培、培训贷风险提示 · 风险提示第三项</w:t>
      </w:r>
    </w:p>
    <w:p>
      <w:r>
        <w:rPr>
          <w:b/>
        </w:rPr>
        <w:t xml:space="preserve">分析依据  </w:t>
      </w:r>
      <w:r>
        <w:t>K006 · 五部门警惕招转培、培训贷风险提示 · 风险提示第四项</w:t>
      </w:r>
    </w:p>
    <w:p>
      <w:r>
        <w:rPr>
          <w:b/>
        </w:rPr>
        <w:t xml:space="preserve">分析依据  </w:t>
      </w:r>
      <w:r>
        <w:t>SUP-R002 · 招聘转培训和贷款 · 风险判定辅助</w:t>
      </w:r>
    </w:p>
    <w:p>
      <w:r>
        <w:rPr>
          <w:b/>
        </w:rPr>
        <w:t xml:space="preserve">分析依据  </w:t>
      </w:r>
      <w:r>
        <w:t>SUP-A01 · 入职收费与培训贷款 · 维权行动卡</w:t>
      </w:r>
    </w:p>
    <w:p>
      <w:r>
        <w:rPr>
          <w:b/>
        </w:rPr>
        <w:t xml:space="preserve">分析依据  </w:t>
      </w:r>
      <w:r>
        <w:t>O003-facts · 虚构化妆师助理岗位、招聘转为收费培训 · 第7项：山东青岛两公司“招转培”案件 · 调查事实</w:t>
      </w:r>
    </w:p>
    <w:p>
      <w:r>
        <w:rPr>
          <w:b/>
        </w:rPr>
        <w:t xml:space="preserve">分析依据  </w:t>
      </w:r>
      <w:r>
        <w:t>O004-facts · 新媒体岗位诱导44天培训、第三方分期支付 · 第8项：四川某品牌管理有限公司“招转培”“培训贷”案件 · 调查事实</w:t>
      </w:r>
    </w:p>
    <w:p>
      <w:pPr>
        <w:keepNext/>
      </w:pPr>
      <w:r>
        <w:rPr>
          <w:color w:val="287B65"/>
        </w:rPr>
        <w:t>建议行动</w:t>
      </w:r>
    </w:p>
    <w:p>
      <w:pPr>
        <w:pStyle w:val="ListBullet"/>
      </w:pPr>
      <w:r>
        <w:t>暂缓支付9800元，也暂缓以任何形式确认“名额”，不接受“今天不确认就没了”的催促。</w:t>
      </w:r>
    </w:p>
    <w:p>
      <w:pPr>
        <w:pStyle w:val="ListBullet"/>
      </w:pPr>
      <w:r>
        <w:t>要求招聘方以书面（微信、邮件均可）明确：培训由哪家公司提供、与招聘公司是什么关系、该机构是否具备职业技能培训许可资质。</w:t>
      </w:r>
    </w:p>
    <w:p>
      <w:pPr>
        <w:pStyle w:val="ListBullet"/>
      </w:pPr>
      <w:r>
        <w:t>书面询问招聘公司：完成培训是否保证录用、与谁签订劳动合同、岗位名称和薪资构成、有无试用期；答复含糊或拒绝书面说明即为退出信号。</w:t>
      </w:r>
    </w:p>
    <w:p>
      <w:pPr>
        <w:pStyle w:val="ListBullet"/>
      </w:pPr>
      <w:r>
        <w:t>在看清分期协议文本前，不要点击任何贷款或分期平台的注册、授权、授信链接，不提供身份证、银行卡、人脸识别或征信授权；书面问清分期是公司内部分期付款，还是第三方金融机构贷款，放款方全称、年化利率、期数、每期金额、提前终止条件分别是什么。</w:t>
      </w:r>
    </w:p>
    <w:p>
      <w:pPr>
        <w:pStyle w:val="ListBullet"/>
      </w:pPr>
      <w:r>
        <w:t>保留招聘截图、全部聊天记录，截图时保留对方账号昵称、时间和原文；要求先拿到完整协议文本（含培训协议与任何分期/借款协议）再决定。</w:t>
      </w:r>
    </w:p>
    <w:p>
      <w:pPr>
        <w:pStyle w:val="ListBullet"/>
      </w:pPr>
      <w:r>
        <w:t>若确有独立培训需求，应与本次求职分开评估培训质量与费用，不能把付费当作获得岗位的条件。</w:t>
      </w:r>
    </w:p>
    <w:p>
      <w:pPr>
        <w:pStyle w:val="Heading1"/>
      </w:pPr>
      <w:r>
        <w:t>03  待核实事项与分析局限</w:t>
      </w:r>
    </w:p>
    <w:p>
      <w:pPr>
        <w:pStyle w:val="ListBullet"/>
      </w:pPr>
      <w:r>
        <w:t>目前只有招聘截图和聊天内容，没有培训协议、服务期条款、分期或借款合同文本，无法判断9800元费用的性质、是否设违约金、退款条件；分期究竟是公司内部分期付款还是第三方贷款尚属未知，需拿到相关协议后再评估是否构成独立金融义务。</w:t>
      </w:r>
    </w:p>
    <w:p>
      <w:pPr>
        <w:pStyle w:val="ListBullet"/>
      </w:pPr>
      <w:r>
        <w:t>培训提供方、费用收款方、分期或放款方均未确认，无法判断是否存在人力资源服务或职业技能培训许可问题，也无法确认收费主体与招聘主体是否为同一家公司。</w:t>
      </w:r>
    </w:p>
    <w:p>
      <w:pPr>
        <w:pStyle w:val="ListBullet"/>
      </w:pPr>
      <w:r>
        <w:t>招聘公司名称、办公地址、是否真实存在软件测试助理岗位均未提供，“公司提供岗前培训、培训后安排工作”目前只是广告与HR口头说法，尚无书面录用承诺。</w:t>
      </w:r>
    </w:p>
    <w:p>
      <w:pPr>
        <w:pStyle w:val="ListBullet"/>
      </w:pPr>
      <w:r>
        <w:t>说明：招聘广告称公司提供培训，不因此可推出培训免费、属于直接招聘或保证录用；广告条件与面试后要求先付费培训之间的不一致，本身就是需要核实的信号。</w:t>
      </w:r>
    </w:p>
    <w:p>
      <w:pPr>
        <w:pStyle w:val="ListBullet"/>
      </w:pPr>
      <w:r>
        <w:t>招聘截图与聊天记录未提供原文文件，本报告仅依据用户转述内容分析，未核验对方主体资质或经营状况。</w:t>
      </w:r>
    </w:p>
    <w:p>
      <w:pPr>
        <w:pStyle w:val="ListBullet"/>
      </w:pPr>
      <w:r>
        <w:t>本报告是风险提示与分析，不构成对任何主体违法或诈骗的认定，也不代替司法、行政或调解机构的判断。</w:t>
      </w:r>
    </w:p>
    <w:p>
      <w:pPr>
        <w:pStyle w:val="Heading2"/>
      </w:pPr>
      <w:r>
        <w:t>关联自查清单</w:t>
      </w:r>
    </w:p>
    <w:p>
      <w:r>
        <w:rPr>
          <w:color w:val="71847D"/>
        </w:rPr>
        <w:t>可在当前会话补充这些信息，必要时再修订报告；未确认的情形不计为新增风险。</w:t>
      </w:r>
    </w:p>
    <w:p>
      <w:pPr>
        <w:pStyle w:val="ListBullet"/>
      </w:pPr>
      <w:r>
        <w:t>你能否拿到招聘公司的全称与统一社会信用代码，以及培训协议中写明的培训主体和收款账户？</w:t>
      </w:r>
    </w:p>
    <w:p>
      <w:pPr>
        <w:pStyle w:val="ListBullet"/>
      </w:pPr>
      <w:r>
        <w:t>对方是否愿意以书面形式确认：分期是内部付款安排还是第三方贷款，放款方是谁、利率与期数是多少？</w:t>
      </w:r>
    </w:p>
    <w:p>
      <w:pPr>
        <w:pStyle w:val="ListBullet"/>
      </w:pPr>
      <w:r>
        <w:t>培训结束后是保证与该公司或其关联公司签订劳动合同，还是仅“推荐面试/安排面试”？</w:t>
      </w:r>
    </w:p>
    <w:p>
      <w:pPr>
        <w:pStyle w:val="Heading2"/>
      </w:pPr>
      <w:r>
        <w:t>官方核查入口</w:t>
      </w:r>
    </w:p>
    <w:p>
      <w:r>
        <w:rPr>
          <w:color w:val="71847D"/>
        </w:rPr>
        <w:t>以下为查询入口，报告没有代你查询企业或核验资质。企业登记正常也不能证明岗位安全。</w:t>
      </w:r>
    </w:p>
    <w:p>
      <w:r>
        <w:rPr>
          <w:b/>
        </w:rPr>
        <w:t xml:space="preserve">企业登记查询  </w:t>
      </w:r>
      <w:r/>
      <w:hyperlink r:id="rId12" w:history="1">
        <w:r>
          <w:rPr>
            <w:rStyle w:val="Hyperlink"/>
            <w:u w:val="single"/>
            <w:color w:val="287B65"/>
          </w:rPr>
          <w:t>国家企业信用信息公示系统 https://www.gsxt.gov.cn/</w:t>
        </w:r>
      </w:hyperlink>
    </w:p>
    <w:p>
      <w:r>
        <w:rPr>
          <w:b/>
        </w:rPr>
        <w:t xml:space="preserve">人社咨询与办事  </w:t>
      </w:r>
      <w:r/>
      <w:hyperlink r:id="rId13" w:history="1">
        <w:r>
          <w:rPr>
            <w:rStyle w:val="Hyperlink"/>
            <w:u w:val="single"/>
            <w:color w:val="287B65"/>
          </w:rPr>
          <w:t>全国人力资源和社会保障政务服务平台 https://www.12333.gov.cn/</w:t>
        </w:r>
      </w:hyperlink>
    </w:p>
    <w:p>
      <w:r>
        <w:rPr>
          <w:color w:val="71847D"/>
        </w:rPr>
        <w:t>人社咨询电话：12333。具体业务以所在地人社部门受理范围为准。</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spacing w:line="288" w:lineRule="auto" w:after="80"/>
      </w:pPr>
      <w:r>
        <w:rPr>
          <w:color w:val="71847D"/>
          <w:sz w:val="19"/>
        </w:rPr>
        <w:t>法律条文</w:t>
      </w:r>
    </w:p>
    <w:p>
      <w:pPr>
        <w:spacing w:line="288" w:lineRule="auto" w:after="80"/>
      </w:pPr>
      <w:r>
        <w:rPr>
          <w:b/>
          <w:sz w:val="19"/>
        </w:rPr>
        <w:t xml:space="preserve">法律制定机关  </w:t>
      </w:r>
      <w:r>
        <w:rPr>
          <w:color w:val="71847D"/>
          <w:sz w:val="19"/>
        </w:rPr>
        <w:t>全国人民代表大会常务委员会</w:t>
      </w:r>
    </w:p>
    <w:p>
      <w:pPr>
        <w:spacing w:line="288" w:lineRule="auto" w:after="80"/>
      </w:pPr>
      <w:r>
        <w:rPr>
          <w:b/>
          <w:sz w:val="19"/>
        </w:rPr>
        <w:t xml:space="preserve">原文载体  </w:t>
      </w:r>
      <w:r>
        <w:rPr>
          <w:color w:val="71847D"/>
          <w:sz w:val="19"/>
        </w:rPr>
        <w:t>国家法律法规数据库 全国人大常委会办公厅</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原文链接  </w:t>
      </w:r>
      <w:r>
        <w:rPr>
          <w:sz w:val="19"/>
        </w:rPr>
      </w:r>
      <w:hyperlink r:id="rId14" w:history="1">
        <w:r>
          <w:rPr>
            <w:rStyle w:val="Hyperlink"/>
            <w:u w:val="single"/>
            <w:color w:val="287B65"/>
          </w:rPr>
          <w:t>点击打开官方原文</w:t>
        </w:r>
      </w:hyperlink>
    </w:p>
    <w:p>
      <w:pPr>
        <w:spacing w:line="288" w:lineRule="auto" w:after="80"/>
      </w:pPr>
      <w:r>
        <w:rPr>
          <w:sz w:val="19"/>
        </w:rPr>
      </w:r>
      <w:hyperlink r:id="rId14" w:history="1">
        <w:r>
          <w:rPr>
            <w:rStyle w:val="Hyperlink"/>
            <w:u w:val="single"/>
            <w:color w:val="287B65"/>
          </w:rPr>
          <w:t>https://flk.npc.gov.cn/detail?title=%E4%B8%AD%E5%8D%8E%E4%BA%BA%E6%B0%91%E5%85%B1%E5%92%8C%E5%9B%BD%E5%8A%B3%E5%8A%A8%E5%90%88%E5%90%8C%E6%B3%95&amp;id=2c909fdd678bf17901678bf74d7106b3</w:t>
        </w:r>
      </w:hyperlink>
    </w:p>
    <w:p>
      <w:pPr>
        <w:keepNext/>
        <w:spacing w:line="288" w:lineRule="auto" w:after="80"/>
      </w:pPr>
      <w:r>
        <w:rPr>
          <w:b/>
          <w:sz w:val="19"/>
        </w:rPr>
        <w:t>K001 · 第九条</w:t>
      </w:r>
    </w:p>
    <w:p>
      <w:pPr>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LCL-022 · 第二十二条</w:t>
      </w:r>
    </w:p>
    <w:p>
      <w:pPr>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spacing w:line="288" w:lineRule="auto" w:after="80"/>
      </w:pPr>
      <w:r>
        <w:rPr>
          <w:b/>
          <w:sz w:val="19"/>
        </w:rPr>
        <w:t xml:space="preserve">适用边界 K001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spacing w:line="288" w:lineRule="auto" w:after="80"/>
      </w:pPr>
      <w:r>
        <w:rPr>
          <w:b/>
          <w:sz w:val="19"/>
        </w:rPr>
        <w:t xml:space="preserve">适用边界 LCL-022  </w:t>
      </w:r>
      <w:r>
        <w:rPr>
          <w:sz w:val="19"/>
        </w:rPr>
        <w:t>须核实本条适用条件、例外和用户事实，并结合关联条款及相关配套规定；不得直接凭法条认定个案违法。</w:t>
      </w:r>
    </w:p>
    <w:p>
      <w:pPr>
        <w:pStyle w:val="Heading2"/>
        <w:keepNext/>
      </w:pPr>
      <w:r>
        <w:t>LL-2018-068  中华人民共和国劳动法</w:t>
      </w:r>
    </w:p>
    <w:p>
      <w:pPr>
        <w:spacing w:line="288" w:lineRule="auto" w:after="80"/>
      </w:pPr>
      <w:r>
        <w:rPr>
          <w:color w:val="71847D"/>
          <w:sz w:val="19"/>
        </w:rPr>
        <w:t>法律条文</w:t>
      </w:r>
    </w:p>
    <w:p>
      <w:pPr>
        <w:spacing w:line="288" w:lineRule="auto" w:after="80"/>
      </w:pPr>
      <w:r>
        <w:rPr>
          <w:b/>
          <w:sz w:val="19"/>
        </w:rPr>
        <w:t xml:space="preserve">法律制定机关  </w:t>
      </w:r>
      <w:r>
        <w:rPr>
          <w:color w:val="71847D"/>
          <w:sz w:val="19"/>
        </w:rPr>
        <w:t>全国人民代表大会常务委员会</w:t>
      </w:r>
    </w:p>
    <w:p>
      <w:pPr>
        <w:spacing w:line="288" w:lineRule="auto" w:after="80"/>
      </w:pPr>
      <w:r>
        <w:rPr>
          <w:b/>
          <w:sz w:val="19"/>
        </w:rPr>
        <w:t xml:space="preserve">原文载体  </w:t>
      </w:r>
      <w:r>
        <w:rPr>
          <w:color w:val="71847D"/>
          <w:sz w:val="19"/>
        </w:rPr>
        <w:t>国家法律法规数据库 全国人大常委会办公厅</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原文链接  </w:t>
      </w:r>
      <w:r>
        <w:rPr>
          <w:sz w:val="19"/>
        </w:rPr>
      </w:r>
      <w:hyperlink r:id="rId15" w:history="1">
        <w:r>
          <w:rPr>
            <w:rStyle w:val="Hyperlink"/>
            <w:u w:val="single"/>
            <w:color w:val="287B65"/>
          </w:rPr>
          <w:t>点击打开官方原文</w:t>
        </w:r>
      </w:hyperlink>
    </w:p>
    <w:p>
      <w:pPr>
        <w:spacing w:line="288" w:lineRule="auto" w:after="80"/>
      </w:pPr>
      <w:r>
        <w:rPr>
          <w:sz w:val="19"/>
        </w:rPr>
      </w:r>
      <w:hyperlink r:id="rId15" w:history="1">
        <w:r>
          <w:rPr>
            <w:rStyle w:val="Hyperlink"/>
            <w:u w:val="single"/>
            <w:color w:val="287B65"/>
          </w:rPr>
          <w:t>https://flk.npc.gov.cn/detail?id=ff8080816f135f46016f20f16ee11737&amp;title=%E4%B8%AD%E5%8D%8E%E4%BA%BA%E6%B0%91%E5%85%B1%E5%92%8C%E5%9B%BD%E5%8A%B3%E5%8A%A8%E6%B3%95</w:t>
        </w:r>
      </w:hyperlink>
    </w:p>
    <w:p>
      <w:pPr>
        <w:keepNext/>
        <w:spacing w:line="288" w:lineRule="auto" w:after="80"/>
      </w:pPr>
      <w:r>
        <w:rPr>
          <w:b/>
          <w:sz w:val="19"/>
        </w:rPr>
        <w:t>LL-2018-068 · 第六十八条</w:t>
      </w:r>
    </w:p>
    <w:p>
      <w:pPr>
        <w:spacing w:line="288" w:lineRule="auto" w:after="80"/>
      </w:pPr>
      <w:r>
        <w:rPr>
          <w:sz w:val="19"/>
        </w:rPr>
        <w:t>第六十八条</w:t>
      </w:r>
      <w:r>
        <w:rPr>
          <w:sz w:val="19"/>
        </w:rPr>
        <w:br/>
      </w:r>
      <w:r>
        <w:rPr>
          <w:sz w:val="19"/>
        </w:rPr>
        <w:t>用人单位应当建立职业培训制度，按照国家规定提取和使用职业培训经费，根据本单位实际，有计划地对劳动者进行职业培训。</w:t>
      </w:r>
      <w:r>
        <w:rPr>
          <w:sz w:val="19"/>
        </w:rPr>
        <w:br/>
      </w:r>
      <w:r>
        <w:rPr>
          <w:sz w:val="19"/>
        </w:rPr>
        <w:t>从事技术工种的劳动者，上岗前必须经过培训。</w:t>
      </w:r>
    </w:p>
    <w:p>
      <w:pPr>
        <w:spacing w:line="288" w:lineRule="auto" w:after="80"/>
      </w:pPr>
      <w:r>
        <w:rPr>
          <w:b/>
          <w:sz w:val="19"/>
        </w:rPr>
        <w:t xml:space="preserve">适用边界 LL-2018-068  </w:t>
      </w:r>
      <w:r>
        <w:rPr>
          <w:sz w:val="19"/>
        </w:rPr>
        <w:t>须结合后续专门法律、行政法规、司法解释及工作地现行规定判断；本条完整原文不等于个案的全部适用依据。</w:t>
      </w:r>
    </w:p>
    <w:p>
      <w:pPr>
        <w:pStyle w:val="Heading2"/>
        <w:keepNext/>
      </w:pPr>
      <w:r>
        <w:t>K005  五部门警惕招转培、培训贷风险提示</w:t>
      </w:r>
    </w:p>
    <w:p>
      <w:pPr>
        <w:spacing w:line="288" w:lineRule="auto" w:after="80"/>
      </w:pPr>
      <w:r>
        <w:rPr>
          <w:color w:val="71847D"/>
          <w:sz w:val="19"/>
        </w:rPr>
        <w:t>官方风险提示</w:t>
      </w:r>
    </w:p>
    <w:p>
      <w:pPr>
        <w:spacing w:line="288" w:lineRule="auto" w:after="80"/>
      </w:pPr>
      <w:r>
        <w:rPr>
          <w:b/>
          <w:sz w:val="19"/>
        </w:rPr>
        <w:t xml:space="preserve">发布机构  </w:t>
      </w:r>
      <w:r>
        <w:rPr>
          <w:color w:val="71847D"/>
          <w:sz w:val="19"/>
        </w:rPr>
        <w:t>人力资源和社会保障部、中央网络安全和信息化委员会办公室、教育部、公安部、国家金融监督管理总局</w:t>
      </w:r>
    </w:p>
    <w:p>
      <w:pPr>
        <w:spacing w:line="288" w:lineRule="auto" w:after="80"/>
      </w:pPr>
      <w:r>
        <w:rPr>
          <w:b/>
          <w:sz w:val="19"/>
        </w:rPr>
        <w:t xml:space="preserve">原文载体  </w:t>
      </w:r>
      <w:r>
        <w:rPr>
          <w:color w:val="71847D"/>
          <w:sz w:val="19"/>
        </w:rPr>
        <w:t>人力资源和社会保障部</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访问说明  </w:t>
      </w:r>
      <w:r>
        <w:rPr>
          <w:color w:val="71847D"/>
          <w:sz w:val="19"/>
        </w:rPr>
        <w:t>原始发布页与备用官方页面均已核对；网页若加载缓慢，可尝试备用官方页面。</w:t>
      </w:r>
    </w:p>
    <w:p>
      <w:pPr>
        <w:spacing w:line="288" w:lineRule="auto" w:after="80"/>
      </w:pPr>
      <w:r>
        <w:rPr>
          <w:b/>
          <w:sz w:val="19"/>
        </w:rPr>
        <w:t xml:space="preserve">原文链接  </w:t>
      </w:r>
      <w:r>
        <w:rPr>
          <w:sz w:val="19"/>
        </w:rPr>
      </w:r>
      <w:hyperlink r:id="rId16" w:history="1">
        <w:r>
          <w:rPr>
            <w:rStyle w:val="Hyperlink"/>
            <w:u w:val="single"/>
            <w:color w:val="287B65"/>
          </w:rPr>
          <w:t>点击打开官方原文</w:t>
        </w:r>
      </w:hyperlink>
    </w:p>
    <w:p>
      <w:pPr>
        <w:spacing w:line="288" w:lineRule="auto" w:after="80"/>
      </w:pPr>
      <w:r>
        <w:rPr>
          <w:sz w:val="19"/>
        </w:rPr>
      </w:r>
      <w:hyperlink r:id="rId16" w:history="1">
        <w:r>
          <w:rPr>
            <w:rStyle w:val="Hyperlink"/>
            <w:u w:val="single"/>
            <w:color w:val="287B65"/>
          </w:rPr>
          <w:t>https://www.mohrss.gov.cn/wap/xw/rsxw/202605/t20260515_576264.html</w:t>
        </w:r>
      </w:hyperlink>
    </w:p>
    <w:p>
      <w:pPr>
        <w:spacing w:line="288" w:lineRule="auto" w:after="80"/>
      </w:pPr>
      <w:r>
        <w:rPr>
          <w:b/>
          <w:sz w:val="19"/>
        </w:rPr>
        <w:t xml:space="preserve">备用官方页面  </w:t>
      </w:r>
      <w:r>
        <w:rPr>
          <w:sz w:val="19"/>
        </w:rPr>
      </w:r>
      <w:hyperlink r:id="rId17" w:history="1">
        <w:r>
          <w:rPr>
            <w:rStyle w:val="Hyperlink"/>
            <w:u w:val="single"/>
            <w:color w:val="287B65"/>
          </w:rPr>
          <w:t>https://chinajob.mohrss.gov.cn/h5/c/2026-05-18/543038.shtml</w:t>
        </w:r>
      </w:hyperlink>
    </w:p>
    <w:p>
      <w:pPr>
        <w:keepNext/>
        <w:spacing w:line="288" w:lineRule="auto" w:after="80"/>
      </w:pPr>
      <w:r>
        <w:rPr>
          <w:b/>
          <w:sz w:val="19"/>
        </w:rPr>
        <w:t>K005 · 风险提示第三项</w:t>
      </w:r>
    </w:p>
    <w:p>
      <w:pPr>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K006 · 风险提示第四项</w:t>
      </w:r>
    </w:p>
    <w:p>
      <w:pPr>
        <w:spacing w:line="288" w:lineRule="auto" w:after="80"/>
      </w:pPr>
      <w:r>
        <w:rPr>
          <w:sz w:val="19"/>
        </w:rPr>
        <w:t>签订涉及贷款的协议，务必核实放款方资质、贷款利率、还款方式及违约责任。慎重在平台注册信息及办理贷款，坚持理性借贷，避免过度负债，切勿轻信“免息分期”“低门槛、秒到账”等承诺，避免陷入非法债务纠纷。</w:t>
      </w:r>
    </w:p>
    <w:p>
      <w:pPr>
        <w:spacing w:line="288" w:lineRule="auto" w:after="80"/>
      </w:pPr>
      <w:r>
        <w:rPr>
          <w:b/>
          <w:sz w:val="19"/>
        </w:rPr>
        <w:t xml:space="preserve">适用边界 K005  </w:t>
      </w:r>
      <w:r>
        <w:rPr>
          <w:sz w:val="19"/>
        </w:rPr>
        <w:t>官方风险提示不是违法认定；结合招聘、培训、贷款主体及协议分析。</w:t>
      </w:r>
    </w:p>
    <w:p>
      <w:pPr>
        <w:spacing w:line="288" w:lineRule="auto" w:after="80"/>
      </w:pPr>
      <w:r>
        <w:rPr>
          <w:b/>
          <w:sz w:val="19"/>
        </w:rPr>
        <w:t xml:space="preserve">适用边界 K006  </w:t>
      </w:r>
      <w:r>
        <w:rPr>
          <w:sz w:val="19"/>
        </w:rPr>
        <w:t>分期是否属于贷款要看协议和主体；不能仅凭分期二字认定违法。</w:t>
      </w:r>
    </w:p>
    <w:p>
      <w:pPr>
        <w:pStyle w:val="Heading2"/>
        <w:keepNext/>
      </w:pPr>
      <w:r>
        <w:t>O003-facts  虚构化妆师助理岗位、招聘转为收费培训</w:t>
      </w:r>
    </w:p>
    <w:p>
      <w:pPr>
        <w:spacing w:line="288" w:lineRule="auto" w:after="80"/>
      </w:pPr>
      <w:r>
        <w:rPr>
          <w:color w:val="71847D"/>
          <w:sz w:val="19"/>
        </w:rPr>
        <w:t>案例参考</w:t>
      </w:r>
    </w:p>
    <w:p>
      <w:pPr>
        <w:spacing w:line="288" w:lineRule="auto" w:after="80"/>
      </w:pPr>
      <w:r>
        <w:rPr>
          <w:b/>
          <w:sz w:val="19"/>
        </w:rPr>
        <w:t xml:space="preserve">发布机构  </w:t>
      </w:r>
      <w:r>
        <w:rPr>
          <w:color w:val="71847D"/>
          <w:sz w:val="19"/>
        </w:rPr>
        <w:t>人力资源和社会保障部</w:t>
      </w:r>
    </w:p>
    <w:p>
      <w:pPr>
        <w:spacing w:line="288" w:lineRule="auto" w:after="80"/>
      </w:pPr>
      <w:r>
        <w:rPr>
          <w:b/>
          <w:sz w:val="19"/>
        </w:rPr>
        <w:t xml:space="preserve">原文载体  </w:t>
      </w:r>
      <w:r>
        <w:rPr>
          <w:color w:val="71847D"/>
          <w:sz w:val="19"/>
        </w:rPr>
        <w:t>中国人力资源市场网 人力资源和社会保障部主办</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原文链接  </w:t>
      </w:r>
      <w:r>
        <w:rPr>
          <w:sz w:val="19"/>
        </w:rPr>
      </w:r>
      <w:hyperlink r:id="rId18" w:history="1">
        <w:r>
          <w:rPr>
            <w:rStyle w:val="Hyperlink"/>
            <w:u w:val="single"/>
            <w:color w:val="287B65"/>
          </w:rPr>
          <w:t>点击打开官方原文</w:t>
        </w:r>
      </w:hyperlink>
    </w:p>
    <w:p>
      <w:pPr>
        <w:spacing w:line="288" w:lineRule="auto" w:after="80"/>
      </w:pPr>
      <w:r>
        <w:rPr>
          <w:sz w:val="19"/>
        </w:rPr>
      </w:r>
      <w:hyperlink r:id="rId18" w:history="1">
        <w:r>
          <w:rPr>
            <w:rStyle w:val="Hyperlink"/>
            <w:u w:val="single"/>
            <w:color w:val="287B65"/>
          </w:rPr>
          <w:t>https://chrm.mohrss.gov.cn/?p=14881&amp;post_type=post</w:t>
        </w:r>
      </w:hyperlink>
    </w:p>
    <w:p>
      <w:pPr>
        <w:keepNext/>
        <w:spacing w:line="288" w:lineRule="auto" w:after="80"/>
      </w:pPr>
      <w:r>
        <w:rPr>
          <w:b/>
          <w:sz w:val="19"/>
        </w:rPr>
        <w:t>O003-facts · 第7项：山东青岛两公司“招转培”案件 · 调查事实</w:t>
      </w:r>
    </w:p>
    <w:p>
      <w:pPr>
        <w:spacing w:line="288" w:lineRule="auto" w:after="80"/>
      </w:pPr>
      <w:r>
        <w:rPr>
          <w:sz w:val="19"/>
        </w:rPr>
        <w:t>【官方发布案例的核对摘要，非完整裁判文书】青岛某文化服务公司没有化妆师岗位，却招聘化妆师助理；面试时以缺乏经验为由，引导求职者与另一科技公司签培训协议。</w:t>
      </w:r>
    </w:p>
    <w:p>
      <w:pPr>
        <w:keepNext/>
        <w:spacing w:line="288" w:lineRule="auto" w:after="80"/>
      </w:pPr>
      <w:r>
        <w:rPr>
          <w:b/>
          <w:sz w:val="19"/>
        </w:rPr>
        <w:t>O004-facts · 新媒体岗位诱导44天培训、第三方分期支付 · 第8项：四川某品牌管理有限公司“招转培”“培训贷”案件 · 调查事实</w:t>
      </w:r>
    </w:p>
    <w:p>
      <w:pPr>
        <w:spacing w:line="288" w:lineRule="auto" w:after="80"/>
      </w:pPr>
      <w:r>
        <w:rPr>
          <w:sz w:val="19"/>
        </w:rPr>
        <w:t>【官方发布案例的核对摘要，非完整裁判文书】四川某公司招聘新媒体运营人员，以缺乏经验为由要求44天培训，费用19800元，求职者通过第三方平台分期付款。</w:t>
      </w:r>
    </w:p>
    <w:p>
      <w:pPr>
        <w:keepNext/>
        <w:spacing w:line="288" w:lineRule="auto" w:after="80"/>
      </w:pPr>
      <w:r>
        <w:rPr>
          <w:b/>
          <w:sz w:val="19"/>
        </w:rPr>
        <w:t>O003-outcome · 第7项：山东青岛两公司“招转培”案件 · 处理结果</w:t>
      </w:r>
    </w:p>
    <w:p>
      <w:pPr>
        <w:spacing w:line="288" w:lineRule="auto" w:after="80"/>
      </w:pPr>
      <w:r>
        <w:rPr>
          <w:sz w:val="19"/>
        </w:rPr>
        <w:t>【官方发布案例的核对摘要，非完整裁判文书】责令限期改正、关闭职业中介、停止办学、退还所收费用。官方未披露退款完成或刑事判决。</w:t>
      </w:r>
    </w:p>
    <w:p>
      <w:pPr>
        <w:keepNext/>
        <w:spacing w:line="288" w:lineRule="auto" w:after="80"/>
      </w:pPr>
      <w:r>
        <w:rPr>
          <w:b/>
          <w:sz w:val="19"/>
        </w:rPr>
        <w:t>O003-reasoning · 第7项：山东青岛两公司“招转培”案件 · 执法认定</w:t>
      </w:r>
    </w:p>
    <w:p>
      <w:pPr>
        <w:spacing w:line="288" w:lineRule="auto" w:after="80"/>
      </w:pPr>
      <w:r>
        <w:rPr>
          <w:sz w:val="19"/>
        </w:rPr>
        <w:t>【官方发布案例的核对摘要，非完整裁判文书】人社部门查明虚假招聘信息，以及另一公司未经许可开展职业技能培训和职业中介活动。</w:t>
      </w:r>
    </w:p>
    <w:p>
      <w:pPr>
        <w:keepNext/>
        <w:spacing w:line="288" w:lineRule="auto" w:after="80"/>
      </w:pPr>
      <w:r>
        <w:rPr>
          <w:b/>
          <w:sz w:val="19"/>
        </w:rPr>
        <w:t>O004-outcome · 新媒体岗位诱导44天培训、第三方分期支付 · 第8项：四川某品牌管理有限公司“招转培”“培训贷”案件 · 处理结果</w:t>
      </w:r>
    </w:p>
    <w:p>
      <w:pPr>
        <w:spacing w:line="288" w:lineRule="auto" w:after="80"/>
      </w:pPr>
      <w:r>
        <w:rPr>
          <w:sz w:val="19"/>
        </w:rPr>
        <w:t>【官方发布案例的核对摘要，非完整裁判文书】属地人社部门立案调查，责令停止培训并退还所收费用；未公开刑事定罪、贷款利率或退款完成情况。</w:t>
      </w:r>
    </w:p>
    <w:p>
      <w:pPr>
        <w:keepNext/>
        <w:spacing w:line="288" w:lineRule="auto" w:after="80"/>
      </w:pPr>
      <w:r>
        <w:rPr>
          <w:b/>
          <w:sz w:val="19"/>
        </w:rPr>
        <w:t>O004-reasoning · 新媒体岗位诱导44天培训、第三方分期支付 · 第8项：四川某品牌管理有限公司“招转培”“培训贷”案件 · 执法认定</w:t>
      </w:r>
    </w:p>
    <w:p>
      <w:pPr>
        <w:spacing w:line="288" w:lineRule="auto" w:after="80"/>
      </w:pPr>
      <w:r>
        <w:rPr>
          <w:sz w:val="19"/>
        </w:rPr>
        <w:t>【官方发布案例的核对摘要，非完整裁判文书】人社部门查明公司未取得职业技能培训许可，以招聘名义诱导培训牟取不正当利益。</w:t>
      </w:r>
    </w:p>
    <w:p>
      <w:pPr>
        <w:spacing w:line="288" w:lineRule="auto" w:after="80"/>
      </w:pPr>
      <w:r>
        <w:rPr>
          <w:b/>
          <w:sz w:val="19"/>
        </w:rPr>
        <w:t xml:space="preserve">适用边界 O003-facts、O003-outcome、O003-reasoning  </w:t>
      </w:r>
      <w:r>
        <w:rPr>
          <w:sz w:val="19"/>
        </w:rPr>
        <w:t>仅收录官方行政处理结果；责令退费不等于所有求职者已实际收到退款。</w:t>
      </w:r>
    </w:p>
    <w:p>
      <w:pPr>
        <w:spacing w:line="288" w:lineRule="auto" w:after="80"/>
      </w:pPr>
      <w:r>
        <w:rPr>
          <w:b/>
          <w:sz w:val="19"/>
        </w:rPr>
        <w:t xml:space="preserve">适用边界 O004-facts、O004-outcome、O004-reasoning  </w:t>
      </w:r>
      <w:r>
        <w:rPr>
          <w:sz w:val="19"/>
        </w:rPr>
        <w:t>官方明确培训收费和第三方分期，但未披露贷款合同、具体利率或退款完成，不得补写。</w:t>
      </w:r>
    </w:p>
    <w:p>
      <w:pPr>
        <w:pStyle w:val="Heading2"/>
        <w:keepNext/>
      </w:pPr>
      <w:r>
        <w:t>SUP-R002  招聘转培训和贷款</w:t>
      </w:r>
    </w:p>
    <w:p>
      <w:pPr>
        <w:spacing w:line="288" w:lineRule="auto" w:after="80"/>
      </w:pPr>
      <w:r>
        <w:rPr>
          <w:color w:val="71847D"/>
          <w:sz w:val="19"/>
        </w:rPr>
        <w:t>辅助资料（团队整理）</w:t>
      </w:r>
    </w:p>
    <w:p>
      <w:pPr>
        <w:spacing w:line="288" w:lineRule="auto" w:after="80"/>
      </w:pPr>
      <w:r>
        <w:rPr>
          <w:b/>
          <w:sz w:val="19"/>
        </w:rPr>
        <w:t xml:space="preserve">整理者  </w:t>
      </w:r>
      <w:r>
        <w:rPr>
          <w:color w:val="71847D"/>
          <w:sz w:val="19"/>
        </w:rPr>
        <w:t>作品团队</w:t>
      </w:r>
    </w:p>
    <w:p>
      <w:pPr>
        <w:spacing w:line="288" w:lineRule="auto" w:after="80"/>
      </w:pPr>
      <w:r>
        <w:rPr>
          <w:b/>
          <w:sz w:val="19"/>
        </w:rPr>
        <w:t xml:space="preserve">原文载体  </w:t>
      </w:r>
      <w:r>
        <w:rPr>
          <w:color w:val="71847D"/>
          <w:sz w:val="19"/>
        </w:rPr>
        <w:t>关联官方原文，团队整理内容并非官方原文</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访问说明  </w:t>
      </w:r>
      <w:r>
        <w:rPr>
          <w:color w:val="71847D"/>
          <w:sz w:val="19"/>
        </w:rPr>
        <w:t>原始发布页与备用官方页面均已核对；网页若加载缓慢，可尝试备用官方页面。</w:t>
      </w:r>
    </w:p>
    <w:p>
      <w:pPr>
        <w:spacing w:line="288" w:lineRule="auto" w:after="80"/>
      </w:pPr>
      <w:r>
        <w:rPr>
          <w:color w:val="71847D"/>
          <w:sz w:val="19"/>
        </w:rPr>
        <w:t>关联官方原文见前述同一网址的原文链接。</w:t>
      </w:r>
    </w:p>
    <w:p>
      <w:pPr>
        <w:keepNext/>
        <w:spacing w:line="288" w:lineRule="auto" w:after="80"/>
      </w:pPr>
      <w:r>
        <w:rPr>
          <w:b/>
          <w:sz w:val="19"/>
        </w:rPr>
        <w:t>SUP-R002 · 风险判定辅助</w:t>
      </w:r>
    </w:p>
    <w:p>
      <w:pPr>
        <w:spacing w:line="288" w:lineRule="auto" w:after="80"/>
      </w:pPr>
      <w:r>
        <w:rPr>
          <w:sz w:val="19"/>
        </w:rPr>
        <w:t>先招聘再以能力不足推销培训贷款，核对招聘承诺、培训与放款主体；高风险信号不等于最终诈骗定性。</w:t>
      </w:r>
      <w:r>
        <w:rPr>
          <w:sz w:val="19"/>
        </w:rPr>
        <w:br/>
      </w:r>
      <w:r>
        <w:rPr>
          <w:sz w:val="19"/>
        </w:rPr>
        <w:t>关联依据编号：K005、K001</w:t>
      </w:r>
    </w:p>
    <w:p>
      <w:pPr>
        <w:keepNext/>
        <w:spacing w:line="288" w:lineRule="auto" w:after="80"/>
      </w:pPr>
      <w:r>
        <w:rPr>
          <w:b/>
          <w:sz w:val="19"/>
        </w:rPr>
        <w:t>SUP-A01 · 入职收费与培训贷款 · 维权行动卡</w:t>
      </w:r>
    </w:p>
    <w:p>
      <w:pPr>
        <w:spacing w:line="288" w:lineRule="auto" w:after="80"/>
      </w:pPr>
      <w:r>
        <w:rPr>
          <w:sz w:val="19"/>
        </w:rPr>
        <w:t>先暂停新增付款和不明授权，保存招聘、协议、转账、聊天证据；按主体及争议性质选择人社、消费维权、民事诉讼等渠道；涉嫌犯罪或人身危险报警。已签借款不要自行停还款，合同取消不当然免除借贷责任。</w:t>
      </w:r>
      <w:r>
        <w:rPr>
          <w:sz w:val="19"/>
        </w:rPr>
        <w:br/>
      </w:r>
      <w:r>
        <w:rPr>
          <w:sz w:val="19"/>
        </w:rPr>
        <w:t>关联依据编号：K001、K005</w:t>
      </w:r>
    </w:p>
    <w:p>
      <w:pPr>
        <w:spacing w:line="288" w:lineRule="auto" w:after="80"/>
      </w:pPr>
      <w:r>
        <w:rPr>
          <w:b/>
          <w:sz w:val="19"/>
        </w:rPr>
        <w:t xml:space="preserve">适用边界 SUP-R002、SUP-A01  </w:t>
      </w:r>
      <w:r>
        <w:rPr>
          <w:sz w:val="19"/>
        </w:rPr>
        <w:t>团队整理的辅助资料，不是官方规范原文；不能单独支撑风险定性。请读取关联依据。必须核对适用条件、例外、时间、地域及用户事实；不代替司法或行政认定。</w:t>
      </w:r>
    </w:p>
    <w:p>
      <w:pPr>
        <w:pStyle w:val="Heading2"/>
        <w:keepNext/>
      </w:pPr>
      <w:r>
        <w:t>SUP-F12  面试收培训费是否合法</w:t>
      </w:r>
    </w:p>
    <w:p>
      <w:pPr>
        <w:spacing w:line="288" w:lineRule="auto" w:after="80"/>
      </w:pPr>
      <w:r>
        <w:rPr>
          <w:color w:val="71847D"/>
          <w:sz w:val="19"/>
        </w:rPr>
        <w:t>辅助资料（团队整理）</w:t>
      </w:r>
    </w:p>
    <w:p>
      <w:pPr>
        <w:spacing w:line="288" w:lineRule="auto" w:after="80"/>
      </w:pPr>
      <w:r>
        <w:rPr>
          <w:b/>
          <w:sz w:val="19"/>
        </w:rPr>
        <w:t xml:space="preserve">整理者  </w:t>
      </w:r>
      <w:r>
        <w:rPr>
          <w:color w:val="71847D"/>
          <w:sz w:val="19"/>
        </w:rPr>
        <w:t>作品团队</w:t>
      </w:r>
    </w:p>
    <w:p>
      <w:pPr>
        <w:spacing w:line="288" w:lineRule="auto" w:after="80"/>
      </w:pPr>
      <w:r>
        <w:rPr>
          <w:b/>
          <w:sz w:val="19"/>
        </w:rPr>
        <w:t xml:space="preserve">原文载体  </w:t>
      </w:r>
      <w:r>
        <w:rPr>
          <w:color w:val="71847D"/>
          <w:sz w:val="19"/>
        </w:rPr>
        <w:t>关联官方原文，团队整理内容并非官方原文</w:t>
      </w:r>
    </w:p>
    <w:p>
      <w:pPr>
        <w:spacing w:line="288" w:lineRule="auto" w:after="80"/>
      </w:pPr>
      <w:r>
        <w:rPr>
          <w:b/>
          <w:sz w:val="19"/>
        </w:rPr>
        <w:t xml:space="preserve">资料核对日期  </w:t>
      </w:r>
      <w:r>
        <w:rPr>
          <w:color w:val="71847D"/>
          <w:sz w:val="19"/>
        </w:rPr>
        <w:t>2026-10-08</w:t>
      </w:r>
    </w:p>
    <w:p>
      <w:pPr>
        <w:spacing w:line="288" w:lineRule="auto" w:after="80"/>
      </w:pPr>
      <w:r>
        <w:rPr>
          <w:color w:val="71847D"/>
          <w:sz w:val="19"/>
        </w:rPr>
        <w:t>关联官方原文见前述同一网址的原文链接。</w:t>
      </w:r>
    </w:p>
    <w:p>
      <w:pPr>
        <w:keepNext/>
        <w:spacing w:line="288" w:lineRule="auto" w:after="80"/>
      </w:pPr>
      <w:r>
        <w:rPr>
          <w:b/>
          <w:sz w:val="19"/>
        </w:rPr>
        <w:t>SUP-F12 · 高频问答</w:t>
      </w:r>
    </w:p>
    <w:p>
      <w:pPr>
        <w:spacing w:line="288" w:lineRule="auto" w:after="80"/>
      </w:pPr>
      <w:r>
        <w:rPr>
          <w:sz w:val="19"/>
        </w:rPr>
        <w:t>先问谁收、为何收、与录用有何关系。用人单位招用劳动者不得收取财物；真实自愿独立培训服务与附条件入职收费不同，不能仅见培训费三个字就自动套用第九条。</w:t>
      </w:r>
      <w:r>
        <w:rPr>
          <w:sz w:val="19"/>
        </w:rPr>
        <w:br/>
      </w:r>
      <w:r>
        <w:rPr>
          <w:sz w:val="19"/>
        </w:rPr>
        <w:t>关联依据编号：K001、K005</w:t>
      </w:r>
    </w:p>
    <w:p>
      <w:pPr>
        <w:spacing w:line="288" w:lineRule="auto" w:after="80"/>
      </w:pPr>
      <w:r>
        <w:rPr>
          <w:b/>
          <w:sz w:val="19"/>
        </w:rPr>
        <w:t xml:space="preserve">适用边界 SUP-F12  </w:t>
      </w:r>
      <w:r>
        <w:rPr>
          <w:sz w:val="19"/>
        </w:rPr>
        <w:t>团队整理的辅助资料，不是官方规范原文；不能单独支撑风险定性。请读取关联依据。必须核对适用条件、例外、时间、地域及用户事实；不代替司法或行政认定。</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spacing w:line="336" w:lineRule="auto" w:after="140" w:before="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gsxt.gov.cn/" TargetMode="External"/><Relationship Id="rId13" Type="http://schemas.openxmlformats.org/officeDocument/2006/relationships/hyperlink" Target="https://www.12333.gov.cn/" TargetMode="External"/><Relationship Id="rId14" Type="http://schemas.openxmlformats.org/officeDocument/2006/relationships/hyperlink" Target="https://flk.npc.gov.cn/detail?title=%E4%B8%AD%E5%8D%8E%E4%BA%BA%E6%B0%91%E5%85%B1%E5%92%8C%E5%9B%BD%E5%8A%B3%E5%8A%A8%E5%90%88%E5%90%8C%E6%B3%95&amp;id=2c909fdd678bf17901678bf74d7106b3" TargetMode="External"/><Relationship Id="rId15" Type="http://schemas.openxmlformats.org/officeDocument/2006/relationships/hyperlink" Target="https://flk.npc.gov.cn/detail?id=ff8080816f135f46016f20f16ee11737&amp;title=%E4%B8%AD%E5%8D%8E%E4%BA%BA%E6%B0%91%E5%85%B1%E5%92%8C%E5%9B%BD%E5%8A%B3%E5%8A%A8%E6%B3%95" TargetMode="External"/><Relationship Id="rId16" Type="http://schemas.openxmlformats.org/officeDocument/2006/relationships/hyperlink" Target="https://www.mohrss.gov.cn/wap/xw/rsxw/202605/t20260515_576264.html" TargetMode="External"/><Relationship Id="rId17" Type="http://schemas.openxmlformats.org/officeDocument/2006/relationships/hyperlink" Target="https://chinajob.mohrss.gov.cn/h5/c/2026-05-18/543038.shtml" TargetMode="External"/><Relationship Id="rId18" Type="http://schemas.openxmlformats.org/officeDocument/2006/relationships/hyperlink" Target="https://chrm.mohrss.gov.cn/?p=14881&amp;pos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