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求职风险自查报告</w:t>
      </w:r>
    </w:p>
    <w:p>
      <w:r>
        <w:rPr>
          <w:color w:val="287B65"/>
        </w:rPr>
        <w:t>模拟案例二 技术岗位拟签培训和竞业条款</w:t>
      </w:r>
    </w:p>
    <w:p>
      <w:r>
        <w:rPr>
          <w:color w:val="71847D"/>
        </w:rPr>
        <w:t>第 2 版  |  生成时间：2026-10-08 00:53</w:t>
      </w:r>
    </w:p>
    <w:p>
      <w:r>
        <w:rPr>
          <w:color w:val="71847D"/>
        </w:rPr>
        <w:t>本报告依据已提供材料进行风险提示；风险等级不是违法认定或风险概率。</w:t>
      </w:r>
    </w:p>
    <w:p>
      <w:pPr>
        <w:pStyle w:val="Heading1"/>
      </w:pPr>
      <w:r>
        <w:t>01  结论与风险概览</w:t>
      </w:r>
    </w:p>
    <w:p>
      <w:pPr>
        <w:shd w:fill="EDF6F1"/>
      </w:pPr>
      <w:r>
        <w:t>根据已提供事实，主要风险信号为：竞业限制范围与保密事项匹配性：地域和行业范围仍为全国、全行业，公司未说明保护对象。相关判断须核对适用条件，不构成违法认定。</w:t>
      </w:r>
    </w:p>
    <w:p>
      <w:r>
        <w:rPr>
          <w:b/>
        </w:rPr>
        <w:t xml:space="preserve">概览依据：  </w:t>
      </w:r>
      <w:r>
        <w:rPr>
          <w:color w:val="71847D"/>
        </w:rPr>
        <w:t>LAB-J2-013、LCL-023、LCL-024</w:t>
      </w:r>
    </w:p>
    <w:p>
      <w:r>
        <w:rPr>
          <w:color w:val="71847D"/>
        </w:rPr>
        <w:t>红灯=高风险；黄灯=需关注；灰色=待核实。未检出风险不等于绿灯安全。</w:t>
      </w:r>
    </w:p>
    <w:p>
      <w:r>
        <w:drawing>
          <wp:inline xmlns:a="http://schemas.openxmlformats.org/drawingml/2006/main" xmlns:pic="http://schemas.openxmlformats.org/drawingml/2006/picture">
            <wp:extent cx="6120000" cy="122400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120000" cy="1224000"/>
                    </a:xfrm>
                    <a:prstGeom prst="rect"/>
                  </pic:spPr>
                </pic:pic>
              </a:graphicData>
            </a:graphic>
          </wp:inline>
        </w:drawing>
      </w:r>
    </w:p>
    <w:p>
      <w:r>
        <w:rPr>
          <w:color w:val="71847D"/>
        </w:rPr>
        <w:t>图中数量来自本报告已标注风险点；未发现问题不代表已证明安全。</w:t>
      </w:r>
    </w:p>
    <w:p>
      <w:pPr>
        <w:pStyle w:val="Heading2"/>
      </w:pPr>
      <w:r>
        <w:t>问题速览</w:t>
      </w:r>
    </w:p>
    <w:tbl>
      <w:tblPr>
        <w:tblW w:type="auto" w:w="0"/>
        <w:tblLayout w:type="fixed"/>
        <w:tblLook w:firstColumn="1" w:firstRow="1" w:lastColumn="0" w:lastRow="0" w:noHBand="0" w:noVBand="1" w:val="04A0"/>
      </w:tblPr>
      <w:tblGrid>
        <w:gridCol w:w="1247"/>
        <w:gridCol w:w="2948"/>
        <w:gridCol w:w="5443"/>
      </w:tblGrid>
      <w:tr>
        <w:trPr>
          <w:tblHeader/>
        </w:trPr>
        <w:tc>
          <w:tcPr>
            <w:tcW w:type="dxa" w:w="1247"/>
            <w:shd w:fill="EDF6F1"/>
          </w:tcPr>
          <w:p>
            <w:pPr>
              <w:spacing w:line="288" w:lineRule="auto" w:after="140" w:before="140"/>
            </w:pPr>
            <w:r>
              <w:rPr>
                <w:sz w:val="19"/>
              </w:rPr>
              <w:t>风险等级</w:t>
            </w:r>
          </w:p>
        </w:tc>
        <w:tc>
          <w:tcPr>
            <w:tcW w:type="dxa" w:w="2948"/>
            <w:shd w:fill="EDF6F1"/>
          </w:tcPr>
          <w:p>
            <w:pPr>
              <w:spacing w:line="288" w:lineRule="auto" w:after="140" w:before="140"/>
            </w:pPr>
            <w:r>
              <w:rPr>
                <w:sz w:val="19"/>
              </w:rPr>
              <w:t>问题</w:t>
            </w:r>
          </w:p>
        </w:tc>
        <w:tc>
          <w:tcPr>
            <w:tcW w:type="dxa" w:w="5443"/>
            <w:shd w:fill="EDF6F1"/>
          </w:tcPr>
          <w:p>
            <w:pPr>
              <w:spacing w:line="288" w:lineRule="auto" w:after="140" w:before="140"/>
            </w:pPr>
            <w:r>
              <w:rPr>
                <w:sz w:val="19"/>
              </w:rPr>
              <w:t>建议先做</w:t>
            </w:r>
          </w:p>
        </w:tc>
      </w:tr>
      <w:tr>
        <w:trPr>
          <w:cantSplit/>
        </w:trPr>
        <w:tc>
          <w:tcPr>
            <w:tcW w:type="dxa" w:w="1247"/>
          </w:tcPr>
          <w:p>
            <w:pPr>
              <w:spacing w:line="288" w:lineRule="auto" w:after="140" w:before="140"/>
            </w:pPr>
            <w:r>
              <w:rPr>
                <w:color w:val="B78224"/>
                <w:sz w:val="19"/>
              </w:rPr>
              <w:t>需关注</w:t>
            </w:r>
          </w:p>
        </w:tc>
        <w:tc>
          <w:tcPr>
            <w:tcW w:type="dxa" w:w="2948"/>
          </w:tcPr>
          <w:p>
            <w:pPr>
              <w:spacing w:line="288" w:lineRule="auto" w:after="140" w:before="140"/>
            </w:pPr>
            <w:r>
              <w:rPr>
                <w:sz w:val="19"/>
              </w:rPr>
              <w:t>竞业限制范围与保密事项匹配性：地域和行业范围仍为全国、全行业，公司未说明保护对象</w:t>
            </w:r>
          </w:p>
        </w:tc>
        <w:tc>
          <w:tcPr>
            <w:tcW w:type="dxa" w:w="5443"/>
          </w:tcPr>
          <w:p>
            <w:pPr>
              <w:spacing w:line="288" w:lineRule="auto" w:after="140" w:before="140"/>
            </w:pPr>
            <w:r>
              <w:rPr>
                <w:sz w:val="19"/>
              </w:rPr>
              <w:t>签字前书面要求HR说明：本岗位需保护的具体商业秘密或知识产权保密事项是什么，“全国任何互联网、软件、培训机构”与该保密事项的关系何在；公司不予说明的，拒签或要求删除该泛化范围。</w:t>
            </w:r>
          </w:p>
        </w:tc>
      </w:tr>
    </w:tbl>
    <w:p>
      <w:r>
        <w:rPr>
          <w:b/>
        </w:rPr>
        <w:t xml:space="preserve">本版修改  </w:t>
      </w:r>
      <w:r>
        <w:t>用户提供HR新版协议事实：培训违约金上限改为公司实际支付培训费用并按24个月服务期未履行部分分摊，删除从工资直接扣除，培训尚未发生、费用待凭证核对；竞业限制期限由36个月改为24个月，并明确仅在实际接触商业秘密且符合法定适用条件时启动，但全国、全行业禁止范围保留且公司未解释与所保护秘密的关系。据此删除已改正的“固定违约金/工资扣除”与“36个月超期”两项风险，保留并改写竞业范围为独立风险，将修订后培训条款适用条件与试用期工资作为核查事项（category=check，不计风险数）。</w:t>
      </w:r>
    </w:p>
    <w:p>
      <w:pPr>
        <w:pStyle w:val="Heading1"/>
      </w:pPr>
      <w:r>
        <w:t>02  风险详情</w:t>
      </w:r>
    </w:p>
    <w:p>
      <w:pPr>
        <w:pStyle w:val="Heading2"/>
        <w:keepNext/>
      </w:pPr>
      <w:r>
        <w:rPr>
          <w:color w:val="B78224"/>
        </w:rPr>
        <w:t>01  竞业限制范围与保密事项匹配性：地域和行业范围仍为全国、全行业，公司未说明保护对象  ·  需关注</w:t>
      </w:r>
    </w:p>
    <w:p>
      <w:pPr>
        <w:keepNext/>
        <w:shd w:fill="F3F6F5"/>
      </w:pPr>
      <w:r>
        <w:rPr>
          <w:b/>
        </w:rPr>
        <w:t xml:space="preserve">材料原文  </w:t>
      </w:r>
      <w:r>
        <w:t>竞业附件改为离职后24个月，并明确仅在实际接触商业秘密且符合法定适用条件时启动；全国任何互联网、软件和培训机构的禁止范围仍保留，公司未解释与所保护秘密的关系。</w:t>
      </w:r>
    </w:p>
    <w:p>
      <w:pPr>
        <w:keepNext/>
      </w:pPr>
      <w:r>
        <w:rPr>
          <w:b/>
        </w:rPr>
        <w:t xml:space="preserve">原文位置  </w:t>
      </w:r>
      <w:r>
        <w:rPr>
          <w:color w:val="71847D"/>
        </w:rPr>
        <w:t>用户补充说明</w:t>
      </w:r>
    </w:p>
    <w:p>
      <w:pPr>
        <w:keepNext/>
      </w:pPr>
      <w:r>
        <w:rPr>
          <w:b/>
        </w:rPr>
        <w:t xml:space="preserve">风险说明  </w:t>
      </w:r>
      <w:r>
        <w:t>新版附件虽已把期限改为24个月（未超过劳动合同法第二十四条的两年上限），并写明“仅在实际接触商业秘密且符合法定适用条件时启动”，但“全国任何互联网公司、软件公司或培训机构”的禁止范围仍然保留，且HR未解释该范围与所要保护的商业秘密、知识产权保密事项之间的关系。该岗位负责公开产品的常规测试，是否会接触商业秘密尚未明确；岗位名称本身不能证明接触秘密。劳动争议司法解释二第十三条规定：劳动者未知悉、接触商业秘密和与知识产权相关保密事项的，可请求确认竞业限制条款不生效；约定的范围、地域、期限等与劳动者知悉、接触的保密事项不相适应的，可请求确认超过合理比例部分无效。据此，宽于实际保密事项的地域与行业范围存在被认定超过合理比例的风险，但具体是否无效、无效比例多大，需结合岗位实际职责、保密材料和个案事实判断，本报告不作违法认定。材料未显示已发生限制入职或索要违约金的事实。</w:t>
      </w:r>
    </w:p>
    <w:p>
      <w:pPr>
        <w:keepNext/>
      </w:pPr>
      <w:r>
        <w:rPr>
          <w:b/>
        </w:rPr>
        <w:t xml:space="preserve">分析依据  </w:t>
      </w:r>
      <w:r>
        <w:t>LAB-J2-013 · 最高人民法院关于审理劳动争议案件适用法律问题的解释（二）第十三条 · 第十三条</w:t>
      </w:r>
    </w:p>
    <w:p>
      <w:pPr>
        <w:keepNext/>
      </w:pPr>
      <w:r>
        <w:rPr>
          <w:b/>
        </w:rPr>
        <w:t xml:space="preserve">分析依据  </w:t>
      </w:r>
      <w:r>
        <w:t>LCL-023 · 中华人民共和国劳动合同法 · 第二十三条</w:t>
      </w:r>
    </w:p>
    <w:p>
      <w:pPr>
        <w:keepNext/>
      </w:pPr>
      <w:r>
        <w:rPr>
          <w:b/>
        </w:rPr>
        <w:t xml:space="preserve">分析依据  </w:t>
      </w:r>
      <w:r>
        <w:t>LCL-024 · 中华人民共和国劳动合同法 · 第二十四条</w:t>
      </w:r>
    </w:p>
    <w:p>
      <w:pPr>
        <w:keepNext/>
      </w:pPr>
      <w:r>
        <w:rPr>
          <w:color w:val="287B65"/>
        </w:rPr>
        <w:t>建议行动</w:t>
      </w:r>
    </w:p>
    <w:p>
      <w:pPr>
        <w:pStyle w:val="ListBullet"/>
        <w:keepNext/>
      </w:pPr>
      <w:r>
        <w:t>签字前书面要求HR说明：本岗位需保护的具体商业秘密或知识产权保密事项是什么，“全国任何互联网、软件、培训机构”与该保密事项的关系何在；公司不予说明的，拒签或要求删除该泛化范围。</w:t>
      </w:r>
    </w:p>
    <w:p>
      <w:pPr>
        <w:pStyle w:val="ListBullet"/>
        <w:keepNext/>
      </w:pPr>
      <w:r>
        <w:t>要求把竞业范围限定为与本单位同类业务有竞争关系、且与你实际接触的保密事项相适应的用人单位或业务范围，并写明地域依据；期限保留在24个月以内。</w:t>
      </w:r>
    </w:p>
    <w:p>
      <w:pPr>
        <w:pStyle w:val="ListBullet"/>
        <w:keepNext/>
      </w:pPr>
      <w:r>
        <w:t>书面确认竞业补偿（现为按月1000元）的支付时间、方式，以及违约金的计算方式；补偿与违约金请分别写明，避免二者明显失衡。</w:t>
      </w:r>
    </w:p>
    <w:p>
      <w:pPr>
        <w:pStyle w:val="ListBullet"/>
        <w:keepNext/>
      </w:pPr>
      <w:r>
        <w:t>要求在协议中写明启动条件的具体判断标准（如岗位接触哪些保密信息由谁确认、以何文件为据），避免仅凭“符合法定条件”这一抽象表述。</w:t>
      </w:r>
    </w:p>
    <w:p>
      <w:pPr>
        <w:pStyle w:val="ListBullet"/>
        <w:keepNext w:val="0"/>
      </w:pPr>
      <w:r>
        <w:t>保留新版协议文本、HR关于该范围的答复与往来记录；若公司坚持全部技术岗统一适用该范围且拒绝调整，把它作为是否接受offer的重要考量因素。</w:t>
      </w:r>
    </w:p>
    <w:p>
      <w:pPr>
        <w:pStyle w:val="Heading1"/>
      </w:pPr>
      <w:r>
        <w:t>03  待核实事项与分析局限</w:t>
      </w:r>
    </w:p>
    <w:p>
      <w:pPr>
        <w:pStyle w:val="ListBullet"/>
      </w:pPr>
      <w:r>
        <w:t>本报告仅基于用户提供的【模拟材料】及其后续补充说明，未核验用人单位资质、机构许可资质或任何官方登记信息；材料为模拟内容，不构成对企业或条款的违法认定，也不预测诉讼、仲裁结果。</w:t>
      </w:r>
    </w:p>
    <w:p>
      <w:pPr>
        <w:pStyle w:val="ListBullet"/>
      </w:pPr>
      <w:r>
        <w:t>竞业限制条款是否不生效或部分无效，取决于你实际是否知悉、接触商业秘密及知识产权保密事项，以及范围、地域、期限与之相适应的程度；材料目前仅显示岗位负责公开产品常规测试、是否会接触秘密尚未明确，需结合实际职责与保密材料进一步判断。劳动争议司法解释二第十三条自2025年9月1日起施行。</w:t>
      </w:r>
    </w:p>
    <w:p>
      <w:pPr>
        <w:pStyle w:val="ListBullet"/>
      </w:pPr>
      <w:r>
        <w:t>修订后培训违约金条款的具体适用仍取决于：课程是否属劳动合同法第二十二条的专项专业技术培训、公司是否实际支出费用及金额、以及你是否确因违反服务期离职；培训尚未发生，预计30000元不能当作已支出，也不能据此计算违约金。</w:t>
      </w:r>
    </w:p>
    <w:p>
      <w:pPr>
        <w:pStyle w:val="ListBullet"/>
      </w:pPr>
      <w:r>
        <w:t>试用期工资是否合规取决于本单位相同岗位工资结构、最低档工资数额及用人单位所在地最低工资标准，材料未提供；试用期6个月本身未超过法定上限。</w:t>
      </w:r>
    </w:p>
    <w:p>
      <w:pPr>
        <w:pStyle w:val="ListBullet"/>
      </w:pPr>
      <w:r>
        <w:t>材料未涉及加班时长、休息时长、考勤与工时审批、社会保险缴纳细节、试用期考核标准与解除条件、竞业补偿的实际支付安排等，不作推算。</w:t>
      </w:r>
    </w:p>
    <w:p>
      <w:pPr>
        <w:pStyle w:val="ListBullet"/>
      </w:pPr>
      <w:r>
        <w:t>本报告不预测金额、不保证条款能否被调整或删除，也不代表企业真实性与岗位安全；引用案例仅作个案类比，不能直接套用于不同事实。</w:t>
      </w:r>
    </w:p>
    <w:p>
      <w:pPr>
        <w:pStyle w:val="ListBullet"/>
      </w:pPr>
      <w:r>
        <w:t>修订说明：上一版两点风险已按新事实改正——①培训违约金固定50000元及从工资扣除的约定已删除，改为以实际支付培训费用为上限并按未履行部分分摊；②竞业限制期限已由36个月改为24个月，不再存在超期风险。二者不再列为风险点，仅在核查事项中保留适用条件。</w:t>
      </w:r>
    </w:p>
    <w:p>
      <w:pPr>
        <w:pStyle w:val="ListBullet"/>
      </w:pPr>
      <w:r>
        <w:t>核查与条件分析（不计为风险）：核查事项：修订后培训服务期违约金条款的适用条件（不认定为风险）。修订后的条款已把违约金上限改为公司实际支付的专项培训费用，并按24个月服务期未履行部分分摊，删除了“无论已服务多久一律50000元”和“直接从离职当月工资扣除”。这与劳动合同法第二十二条的要求方向一致：违约金不得超过用人单位提供的培训费用，且不得超过服务期尚未履行部分所应分摊的培训费用；除该条与竞业限制情形外，用人单位不得约定由劳动者承担违约金。仍待落实的是适用条件，而不是上述已改正的条款本身：培训尚未发生、费用尚未实际支出，“预计30000元”不能当作已支出；该课程是否属于第二十二条的专项专业技术培训（而非入职通识或内部常规培训），需要以课程方案、培训合同、实际付款凭证和费用明细核对；协议须继续删除任何工资扣除安排。此项列为核查事项，不计入风险数。；建议：签字前要求写入：违约金以公司实际支付并能提供凭证的专项培训费用为上限，按服务期未履行部分比例分摊，预算或预计金额不作为计算依据。；要求随协议提供机构课程方案、培训合同、实际付款凭证与费用明细，确认课程属于本岗位专项专业技术培训。；确认协议中不含由公司单方从工资中扣除违约金的条款；如后续修订版本重新加入，视为新异常条款再次核对。</w:t>
      </w:r>
    </w:p>
    <w:p>
      <w:pPr>
        <w:pStyle w:val="ListBullet"/>
      </w:pPr>
      <w:r>
        <w:t>核查与条件分析（不计为风险）：核查事项：试用期工资5600元低于同岗位最低档工资6000元（不计为风险）。拟签3年固定期限劳动合同、试用期6个月，未超出劳动合同法第十九条“三年以上固定期限不得超过六个月”的上限，属合法安排，不列为异常。试用期工资5600元等于约定工资7000元的80%，但同时低于材料所写的同岗位最低档工资6000元。第二十条要求试用期工资不得低于本单位相同岗位最低档工资或者劳动合同约定工资的80%，并不得低于用人单位所在地最低工资标准。以哪一基准比较、本单位工资结构如何、当地最低工资标准是多少，材料未提供，故仅作为签约前核查事项，不作违法认定。；建议：书面要求公司说明本单位相同岗位工资结构，明确“最低档工资”对应的数额和你的岗位档次。；查询用人单位所在地现行最低工资标准，核对5600元是否不低于该标准、不低于同岗位最低档工资或约定工资的80%。；在合同中写明试用期起止期间、试用期工资数额，确认同一用人单位与同一劳动者只约定一次试用期，试用期包含在劳动合同期限内。</w:t>
      </w:r>
    </w:p>
    <w:p>
      <w:pPr>
        <w:pStyle w:val="ListBullet"/>
      </w:pPr>
      <w:r>
        <w:t>核查与条件分析（不计为风险）：核查与留痕事项：签约前的主体、岗位与必备条款确认（不认定为风险）。材料显示每周5天、每天8小时，无押金、不扣证件、不要求个人贷款，签约后交付合同文本；这些本身不是异常条款，用人单位也不得扣押证件或收取财物。外部专项课程由公司付费、你个人不承担课程贷款，与需先付高额费用才能安排岗位的付费培训情形不同。此项仅列签约前的核查与留痕动作，不计入风险数：工作内容、工作条件、工作地点、职业危害、安全生产状况、劳动报酬属招聘时告知事项；签约后实际交付的应是与用人单位直接签订的劳动合同文本；如实际存在加班或特殊工时安排，另需核实审批与支付规则，材料未披露不作推算。；建议：签约时当场取得加盖用人单位印章的劳动合同文本，核对用人单位名称、住所、法定代表人与实际招聘主体一致；如签约主体是中介或第三方，先暂停签字并核实授权关系。；书面固定岗位、地点、工作内容、工作时间与休息休假、劳动报酬（含7000元构成、支付日期、绩效浮动部分）、社会保险等必备条款。；通过企业官网、官方招聘渠道和官方电话核实招聘信息与授权；不向招聘方提供银行卡密码、网银验证码，不代为线上注册或填报信息。；妥善保存offer、协议各版本、聊天记录、邮件与任何付款凭证；未签字、未付款前不做任何预付或授权扣款安排。</w:t>
      </w:r>
    </w:p>
    <w:p>
      <w:pPr>
        <w:pStyle w:val="Heading1"/>
      </w:pPr>
      <w:r>
        <w:t>04  依据与来源</w:t>
      </w:r>
    </w:p>
    <w:p>
      <w:r>
        <w:rPr>
          <w:color w:val="71847D"/>
        </w:rPr>
        <w:t>法条、风险提示、指南及案例分别标注；案例结论只用于个案参考。</w:t>
      </w:r>
    </w:p>
    <w:p>
      <w:pPr>
        <w:pStyle w:val="Heading2"/>
        <w:keepNext/>
      </w:pPr>
      <w:r>
        <w:t>LAB-J2-013  最高人民法院关于审理劳动争议案件适用法律问题的解释（二）第十三条</w:t>
      </w:r>
    </w:p>
    <w:p>
      <w:pPr>
        <w:keepNext/>
        <w:spacing w:line="288" w:lineRule="auto" w:after="80"/>
      </w:pPr>
      <w:r>
        <w:rPr>
          <w:color w:val="71847D"/>
          <w:sz w:val="19"/>
        </w:rPr>
        <w:t>法律条文 · 第十三条</w:t>
      </w:r>
    </w:p>
    <w:p>
      <w:pPr>
        <w:keepNext/>
        <w:spacing w:line="288" w:lineRule="auto" w:after="80"/>
      </w:pPr>
      <w:r>
        <w:rPr>
          <w:sz w:val="19"/>
        </w:rPr>
        <w:t>第十三条　劳动者未知悉、接触用人单位的商业秘密和与知识产权相关的保密事项，劳动者请求确认竞业限制条款不生效的，人民法院依法予以支持。</w:t>
      </w:r>
      <w:r>
        <w:rPr>
          <w:sz w:val="19"/>
        </w:rPr>
        <w:br/>
      </w:r>
      <w:r>
        <w:rPr>
          <w:sz w:val="19"/>
        </w:rPr>
        <w:t>竞业限制条款约定的竞业限制范围、地域、期限等内容与劳动者知悉、接触的商业秘密和与知识产权相关的保密事项不相适应，劳动者请求确认竞业限制条款超过合理比例部分无效的，人民法院依法予以支持。</w:t>
      </w:r>
    </w:p>
    <w:p>
      <w:pPr>
        <w:keepNext/>
        <w:spacing w:line="288" w:lineRule="auto" w:after="80"/>
      </w:pPr>
      <w:r>
        <w:rPr>
          <w:b/>
          <w:sz w:val="19"/>
        </w:rPr>
        <w:t xml:space="preserve">适用边界  </w:t>
      </w:r>
      <w:r>
        <w:rPr>
          <w:sz w:val="19"/>
        </w:rPr>
        <w:t>2025年9月1日起施行，历史案须核对当时版本；竞业主体和真实保密事项均需核实。</w:t>
      </w:r>
    </w:p>
    <w:p>
      <w:pPr>
        <w:keepNext/>
        <w:spacing w:line="288" w:lineRule="auto" w:after="80"/>
      </w:pPr>
      <w:r>
        <w:rPr>
          <w:b/>
          <w:sz w:val="19"/>
        </w:rPr>
        <w:t xml:space="preserve">资料核对日期  </w:t>
      </w:r>
      <w:r>
        <w:rPr>
          <w:color w:val="71847D"/>
          <w:sz w:val="19"/>
        </w:rPr>
        <w:t>2026-10-06</w:t>
      </w:r>
    </w:p>
    <w:p>
      <w:pPr>
        <w:keepNext w:val="0"/>
        <w:spacing w:line="288" w:lineRule="auto" w:after="80"/>
      </w:pPr>
      <w:r>
        <w:rPr>
          <w:b/>
          <w:sz w:val="19"/>
        </w:rPr>
        <w:t xml:space="preserve">来源链接  </w:t>
      </w:r>
      <w:r>
        <w:rPr>
          <w:sz w:val="19"/>
        </w:rPr>
      </w:r>
      <w:hyperlink r:id="rId12">
        <w:r>
          <w:rPr>
            <w:color w:val="287B65"/>
          </w:rPr>
          <w:t>https://www.court.gov.cn/zixun/xiangqing/472691.html</w:t>
        </w:r>
      </w:hyperlink>
    </w:p>
    <w:p>
      <w:pPr>
        <w:pStyle w:val="Heading2"/>
        <w:keepNext/>
      </w:pPr>
      <w:r>
        <w:t>LCL-023  中华人民共和国劳动合同法</w:t>
      </w:r>
    </w:p>
    <w:p>
      <w:pPr>
        <w:keepNext/>
        <w:spacing w:line="288" w:lineRule="auto" w:after="80"/>
      </w:pPr>
      <w:r>
        <w:rPr>
          <w:color w:val="71847D"/>
          <w:sz w:val="19"/>
        </w:rPr>
        <w:t>法律条文 · 第二十三条</w:t>
      </w:r>
    </w:p>
    <w:p>
      <w:pPr>
        <w:keepNext/>
        <w:spacing w:line="288" w:lineRule="auto" w:after="80"/>
      </w:pPr>
      <w:r>
        <w:rPr>
          <w:sz w:val="19"/>
        </w:rPr>
        <w:t>第二十三条　用人单位与劳动者可以在劳动合同中约定保守用人单位的商业秘密和与知识产权相关的保密事项。</w:t>
      </w:r>
      <w:r>
        <w:rPr>
          <w:sz w:val="19"/>
        </w:rPr>
        <w:br/>
      </w:r>
      <w:r>
        <w:rPr>
          <w:sz w:val="19"/>
        </w:rPr>
        <w:t>对负有保密义务的劳动者，用人单位可以在劳动合同或者保密协议中与劳动者约定竞业限制条款，并约定在解除或者终止劳动合同后，在竞业限制期限内按月给予劳动者经济补偿。劳动者违反竞业限制约定的，应当按照约定向用人单位支付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LCL-024  中华人民共和国劳动合同法</w:t>
      </w:r>
    </w:p>
    <w:p>
      <w:pPr>
        <w:keepNext/>
        <w:spacing w:line="288" w:lineRule="auto" w:after="80"/>
      </w:pPr>
      <w:r>
        <w:rPr>
          <w:color w:val="71847D"/>
          <w:sz w:val="19"/>
        </w:rPr>
        <w:t>法律条文 · 第二十四条</w:t>
      </w:r>
    </w:p>
    <w:p>
      <w:pPr>
        <w:keepNext/>
        <w:spacing w:line="288" w:lineRule="auto" w:after="80"/>
      </w:pPr>
      <w:r>
        <w:rPr>
          <w:sz w:val="19"/>
        </w:rPr>
        <w:t>第二十四条　竞业限制的人员限于用人单位的高级管理人员、高级技术人员和其他负有保密义务的人员。竞业限制的范围、地域、期限由用人单位与劳动者约定，竞业限制的约定不得违反法律、法规的规定。</w:t>
      </w:r>
      <w:r>
        <w:rPr>
          <w:sz w:val="19"/>
        </w:rPr>
        <w:br/>
      </w:r>
      <w:r>
        <w:rPr>
          <w:sz w:val="19"/>
        </w:rPr>
        <w:t>在解除或者终止劳动合同后，前款规定的人员到与本单位生产或者经营同类产品、从事同类业务的有竞争关系的其他用人单位，或者自己开业生产或者经营同类产品、从事同类业务的竞业限制期限，不得超过二年。</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K001  中华人民共和国劳动合同法</w:t>
      </w:r>
    </w:p>
    <w:p>
      <w:pPr>
        <w:keepNext/>
        <w:spacing w:line="288" w:lineRule="auto" w:after="80"/>
      </w:pPr>
      <w:r>
        <w:rPr>
          <w:color w:val="71847D"/>
          <w:sz w:val="19"/>
        </w:rPr>
        <w:t>法律条文 · 第九条</w:t>
      </w:r>
    </w:p>
    <w:p>
      <w:pPr>
        <w:keepNext/>
        <w:spacing w:line="288" w:lineRule="auto" w:after="80"/>
      </w:pPr>
      <w:r>
        <w:rPr>
          <w:sz w:val="19"/>
        </w:rPr>
        <w:t>第九条　用人单位招用劳动者，不得扣押劳动者的居民身份证和其他证件，不得要求劳动者提供担保或者以其他名义向劳动者收取财物。</w:t>
      </w:r>
    </w:p>
    <w:p>
      <w:pPr>
        <w:keepNext/>
        <w:spacing w:line="288" w:lineRule="auto" w:after="80"/>
      </w:pPr>
      <w:r>
        <w:rPr>
          <w:b/>
          <w:sz w:val="19"/>
        </w:rPr>
        <w:t xml:space="preserve">适用边界  </w:t>
      </w:r>
      <w:r>
        <w:rPr>
          <w:sz w:val="19"/>
        </w:rPr>
        <w:t>涉及证件时，核实是否处于招用环节、证件类别及实际保管方式，区分临时核验与扣押或拒不归还；涉及收费或担保时，核实收费主体、行为和用途，不把独立合法培训服务或所有贷款自动套入本条。证件和收费是本条两类不同禁止行为，分别分析。</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K002  中华人民共和国劳动合同法</w:t>
      </w:r>
    </w:p>
    <w:p>
      <w:pPr>
        <w:keepNext/>
        <w:spacing w:line="288" w:lineRule="auto" w:after="80"/>
      </w:pPr>
      <w:r>
        <w:rPr>
          <w:color w:val="71847D"/>
          <w:sz w:val="19"/>
        </w:rPr>
        <w:t>法律条文 · 第八条</w:t>
      </w:r>
    </w:p>
    <w:p>
      <w:pPr>
        <w:keepNext/>
        <w:spacing w:line="288" w:lineRule="auto" w:after="80"/>
      </w:pPr>
      <w:r>
        <w:rPr>
          <w:sz w:val="19"/>
        </w:rPr>
        <w:t>第八条　用人单位招用劳动者时，应当如实告知劳动者工作内容、工作条件、工作地点、职业危害、安全生产状况、劳动报酬，以及劳动者要求了解的其他情况；用人单位有权了解劳动者与劳动合同直接相关的基本情况，劳动者应当如实说明。</w:t>
      </w:r>
    </w:p>
    <w:p>
      <w:pPr>
        <w:keepNext/>
        <w:spacing w:line="288" w:lineRule="auto" w:after="80"/>
      </w:pPr>
      <w:r>
        <w:rPr>
          <w:b/>
          <w:sz w:val="19"/>
        </w:rPr>
        <w:t xml:space="preserve">适用边界  </w:t>
      </w:r>
      <w:r>
        <w:rPr>
          <w:sz w:val="19"/>
        </w:rPr>
        <w:t>需要比较实际承诺与事实；薪资面议或信息缺失本身不等于诈骗。</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K004  中华人民共和国劳动合同法</w:t>
      </w:r>
    </w:p>
    <w:p>
      <w:pPr>
        <w:keepNext/>
        <w:spacing w:line="288" w:lineRule="auto" w:after="80"/>
      </w:pPr>
      <w:r>
        <w:rPr>
          <w:color w:val="71847D"/>
          <w:sz w:val="19"/>
        </w:rPr>
        <w:t>法律条文 · 第十九条</w:t>
      </w:r>
    </w:p>
    <w:p>
      <w:pPr>
        <w:keepNext/>
        <w:spacing w:line="288" w:lineRule="auto" w:after="80"/>
      </w:pPr>
      <w:r>
        <w:rPr>
          <w:sz w:val="19"/>
        </w:rPr>
        <w:t>第十九条　劳动合同期限三个月以上不满一年的，试用期不得超过一个月；劳动合同期限一年以上不满三年的，试用期不得超过二个月；三年以上固定期限和无固定期限的劳动合同，试用期不得超过六个月。</w:t>
      </w:r>
      <w:r>
        <w:rPr>
          <w:sz w:val="19"/>
        </w:rPr>
        <w:br/>
      </w:r>
      <w:r>
        <w:rPr>
          <w:sz w:val="19"/>
        </w:rPr>
        <w:t>同一用人单位与同一劳动者只能约定一次试用期。</w:t>
      </w:r>
      <w:r>
        <w:rPr>
          <w:sz w:val="19"/>
        </w:rPr>
        <w:br/>
      </w:r>
      <w:r>
        <w:rPr>
          <w:sz w:val="19"/>
        </w:rPr>
        <w:t>以完成一定工作任务为期限的劳动合同或者劳动合同期限不满三个月的，不得约定试用期。</w:t>
      </w:r>
      <w:r>
        <w:rPr>
          <w:sz w:val="19"/>
        </w:rPr>
        <w:br/>
      </w:r>
      <w:r>
        <w:rPr>
          <w:sz w:val="19"/>
        </w:rPr>
        <w:t>试用期包含在劳动合同期限内。劳动合同仅约定试用期的，试用期不成立，该期限为劳动合同期限。</w:t>
      </w:r>
    </w:p>
    <w:p>
      <w:pPr>
        <w:keepNext/>
        <w:spacing w:line="288" w:lineRule="auto" w:after="80"/>
      </w:pPr>
      <w:r>
        <w:rPr>
          <w:b/>
          <w:sz w:val="19"/>
        </w:rPr>
        <w:t xml:space="preserve">适用边界  </w:t>
      </w:r>
      <w:r>
        <w:rPr>
          <w:sz w:val="19"/>
        </w:rPr>
        <w:t>必须知道劳动合同期限、合同类型和是否重复约定。</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LCL-017  中华人民共和国劳动合同法</w:t>
      </w:r>
    </w:p>
    <w:p>
      <w:pPr>
        <w:keepNext/>
        <w:spacing w:line="288" w:lineRule="auto" w:after="80"/>
      </w:pPr>
      <w:r>
        <w:rPr>
          <w:color w:val="71847D"/>
          <w:sz w:val="19"/>
        </w:rPr>
        <w:t>法律条文 · 第十七条</w:t>
      </w:r>
    </w:p>
    <w:p>
      <w:pPr>
        <w:keepNext/>
        <w:spacing w:line="288" w:lineRule="auto" w:after="80"/>
      </w:pPr>
      <w:r>
        <w:rPr>
          <w:sz w:val="19"/>
        </w:rPr>
        <w:t>第十七条　劳动合同应当具备以下条款：</w:t>
      </w:r>
      <w:r>
        <w:rPr>
          <w:sz w:val="19"/>
        </w:rPr>
        <w:br/>
      </w:r>
      <w:r>
        <w:rPr>
          <w:sz w:val="19"/>
        </w:rPr>
        <w:t>（一）用人单位的名称、住所和法定代表人或者主要负责人；</w:t>
      </w:r>
      <w:r>
        <w:rPr>
          <w:sz w:val="19"/>
        </w:rPr>
        <w:br/>
      </w:r>
      <w:r>
        <w:rPr>
          <w:sz w:val="19"/>
        </w:rPr>
        <w:t>（二）劳动者的姓名、住址和居民身份证或者其他有效身份证件号码；</w:t>
      </w:r>
      <w:r>
        <w:rPr>
          <w:sz w:val="19"/>
        </w:rPr>
        <w:br/>
      </w:r>
      <w:r>
        <w:rPr>
          <w:sz w:val="19"/>
        </w:rPr>
        <w:t>（三）劳动合同期限；</w:t>
      </w:r>
      <w:r>
        <w:rPr>
          <w:sz w:val="19"/>
        </w:rPr>
        <w:br/>
      </w:r>
      <w:r>
        <w:rPr>
          <w:sz w:val="19"/>
        </w:rPr>
        <w:t>（四）工作内容和工作地点；</w:t>
      </w:r>
      <w:r>
        <w:rPr>
          <w:sz w:val="19"/>
        </w:rPr>
        <w:br/>
      </w:r>
      <w:r>
        <w:rPr>
          <w:sz w:val="19"/>
        </w:rPr>
        <w:t>（五）工作时间和休息休假；</w:t>
      </w:r>
      <w:r>
        <w:rPr>
          <w:sz w:val="19"/>
        </w:rPr>
        <w:br/>
      </w:r>
      <w:r>
        <w:rPr>
          <w:sz w:val="19"/>
        </w:rPr>
        <w:t>（六）劳动报酬；</w:t>
      </w:r>
      <w:r>
        <w:rPr>
          <w:sz w:val="19"/>
        </w:rPr>
        <w:br/>
      </w:r>
      <w:r>
        <w:rPr>
          <w:sz w:val="19"/>
        </w:rPr>
        <w:t>（七）社会保险；</w:t>
      </w:r>
      <w:r>
        <w:rPr>
          <w:sz w:val="19"/>
        </w:rPr>
        <w:br/>
      </w:r>
      <w:r>
        <w:rPr>
          <w:sz w:val="19"/>
        </w:rPr>
        <w:t>（八）劳动保护、劳动条件和职业危害防护；</w:t>
      </w:r>
      <w:r>
        <w:rPr>
          <w:sz w:val="19"/>
        </w:rPr>
        <w:br/>
      </w:r>
      <w:r>
        <w:rPr>
          <w:sz w:val="19"/>
        </w:rPr>
        <w:t>（九）法律、法规规定应当纳入劳动合同的其他事项。</w:t>
      </w:r>
      <w:r>
        <w:rPr>
          <w:sz w:val="19"/>
        </w:rPr>
        <w:br/>
      </w:r>
      <w:r>
        <w:rPr>
          <w:sz w:val="19"/>
        </w:rPr>
        <w:t>劳动合同除前款规定的必备条款外，用人单位与劳动者可以约定试用期、培训、保守秘密、补充保险和福利待遇等其他事项。</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LCL-020  中华人民共和国劳动合同法</w:t>
      </w:r>
    </w:p>
    <w:p>
      <w:pPr>
        <w:keepNext/>
        <w:spacing w:line="288" w:lineRule="auto" w:after="80"/>
      </w:pPr>
      <w:r>
        <w:rPr>
          <w:color w:val="71847D"/>
          <w:sz w:val="19"/>
        </w:rPr>
        <w:t>法律条文 · 第二十条</w:t>
      </w:r>
    </w:p>
    <w:p>
      <w:pPr>
        <w:keepNext/>
        <w:spacing w:line="288" w:lineRule="auto" w:after="80"/>
      </w:pPr>
      <w:r>
        <w:rPr>
          <w:sz w:val="19"/>
        </w:rPr>
        <w:t>第二十条　劳动者在试用期的工资不得低于本单位相同岗位最低档工资或者劳动合同约定工资的百分之八十，并不得低于用人单位所在地的最低工资标准。</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LCL-022  中华人民共和国劳动合同法</w:t>
      </w:r>
    </w:p>
    <w:p>
      <w:pPr>
        <w:keepNext/>
        <w:spacing w:line="288" w:lineRule="auto" w:after="80"/>
      </w:pPr>
      <w:r>
        <w:rPr>
          <w:color w:val="71847D"/>
          <w:sz w:val="19"/>
        </w:rPr>
        <w:t>法律条文 · 第二十二条</w:t>
      </w:r>
    </w:p>
    <w:p>
      <w:pPr>
        <w:keepNext/>
        <w:spacing w:line="288" w:lineRule="auto" w:after="80"/>
      </w:pPr>
      <w:r>
        <w:rPr>
          <w:sz w:val="19"/>
        </w:rPr>
        <w:t>第二十二条　用人单位为劳动者提供专项培训费用，对其进行专业技术培训的，可以与该劳动者订立协议，约定服务期。</w:t>
      </w:r>
      <w:r>
        <w:rPr>
          <w:sz w:val="19"/>
        </w:rPr>
        <w:br/>
      </w:r>
      <w:r>
        <w:rPr>
          <w:sz w:val="19"/>
        </w:rPr>
        <w:t>劳动者违反服务期约定的，应当按照约定向用人单位支付违约金。违约金的数额不得超过用人单位提供的培训费用。用人单位要求劳动者支付的违约金不得超过服务期尚未履行部分所应分摊的培训费用。</w:t>
      </w:r>
      <w:r>
        <w:rPr>
          <w:sz w:val="19"/>
        </w:rPr>
        <w:br/>
      </w:r>
      <w:r>
        <w:rPr>
          <w:sz w:val="19"/>
        </w:rPr>
        <w:t>用人单位与劳动者约定服务期的，不影响按照正常的工资调整机制提高劳动者在服务期期间的劳动报酬。</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LCL-025  中华人民共和国劳动合同法</w:t>
      </w:r>
    </w:p>
    <w:p>
      <w:pPr>
        <w:keepNext/>
        <w:spacing w:line="288" w:lineRule="auto" w:after="80"/>
      </w:pPr>
      <w:r>
        <w:rPr>
          <w:color w:val="71847D"/>
          <w:sz w:val="19"/>
        </w:rPr>
        <w:t>法律条文 · 第二十五条</w:t>
      </w:r>
    </w:p>
    <w:p>
      <w:pPr>
        <w:keepNext/>
        <w:spacing w:line="288" w:lineRule="auto" w:after="80"/>
      </w:pPr>
      <w:r>
        <w:rPr>
          <w:sz w:val="19"/>
        </w:rPr>
        <w:t>第二十五条　除本法第二十二条和第二十三条规定的情形外，用人单位不得与劳动者约定由劳动者承担违约金。</w:t>
      </w:r>
    </w:p>
    <w:p>
      <w:pPr>
        <w:keepNext/>
        <w:spacing w:line="288" w:lineRule="auto" w:after="80"/>
      </w:pPr>
      <w:r>
        <w:rPr>
          <w:b/>
          <w:sz w:val="19"/>
        </w:rPr>
        <w:t xml:space="preserve">适用边界  </w:t>
      </w:r>
      <w:r>
        <w:rPr>
          <w:sz w:val="19"/>
        </w:rPr>
        <w:t>须核实本条适用条件、例外和用户事实，并结合关联条款及相关配套规定；不得直接凭法条认定个案违法。</w:t>
      </w:r>
    </w:p>
    <w:p>
      <w:pPr>
        <w:keepNext/>
        <w:spacing w:line="288" w:lineRule="auto" w:after="80"/>
      </w:pPr>
      <w:r>
        <w:rPr>
          <w:b/>
          <w:sz w:val="19"/>
        </w:rPr>
        <w:t xml:space="preserve">资料核对日期  </w:t>
      </w:r>
      <w:r>
        <w:rPr>
          <w:color w:val="71847D"/>
          <w:sz w:val="19"/>
        </w:rPr>
        <w:t>2026-10-06</w:t>
      </w:r>
    </w:p>
    <w:p>
      <w:pPr>
        <w:keepNext/>
        <w:spacing w:line="288" w:lineRule="auto" w:after="80"/>
      </w:pPr>
      <w:r>
        <w:rPr>
          <w:b/>
          <w:sz w:val="19"/>
        </w:rPr>
        <w:t xml:space="preserve">发布机构  </w:t>
      </w:r>
      <w:r>
        <w:rPr>
          <w:color w:val="71847D"/>
          <w:sz w:val="19"/>
        </w:rPr>
        <w:t>国家市场监督管理总局</w:t>
      </w:r>
    </w:p>
    <w:p>
      <w:pPr>
        <w:keepNext/>
        <w:spacing w:line="288" w:lineRule="auto" w:after="80"/>
      </w:pPr>
      <w:r>
        <w:rPr>
          <w:b/>
          <w:sz w:val="19"/>
        </w:rPr>
        <w:t xml:space="preserve">法律数据库查询入口  </w:t>
      </w:r>
      <w:r>
        <w:rPr>
          <w:sz w:val="19"/>
        </w:rPr>
      </w:r>
      <w:hyperlink r:id="rId13">
        <w:r>
          <w:rPr>
            <w:color w:val="287B65"/>
          </w:rPr>
          <w:t>国家法律法规数据库（查询入口，未核验具体记录）</w:t>
        </w:r>
      </w:hyperlink>
    </w:p>
    <w:p>
      <w:pPr>
        <w:keepNext w:val="0"/>
        <w:spacing w:line="288" w:lineRule="auto" w:after="80"/>
      </w:pPr>
      <w:r>
        <w:rPr>
          <w:b/>
          <w:sz w:val="19"/>
        </w:rPr>
        <w:t xml:space="preserve">来源链接  </w:t>
      </w:r>
      <w:r>
        <w:rPr>
          <w:sz w:val="19"/>
        </w:rPr>
      </w:r>
      <w:hyperlink r:id="rId14">
        <w:r>
          <w:rPr>
            <w:color w:val="287B65"/>
          </w:rPr>
          <w:t>https://www.samr.gov.cn/zw/zfxxgk/fdzdgknr/bgt/art/2023/art_0abfdd261c03417b949df19d869add8d.html</w:t>
        </w:r>
      </w:hyperlink>
    </w:p>
    <w:p>
      <w:pPr>
        <w:pStyle w:val="Heading2"/>
        <w:keepNext/>
      </w:pPr>
      <w:r>
        <w:t>K005  五部门警惕招转培、培训贷风险提示</w:t>
      </w:r>
    </w:p>
    <w:p>
      <w:pPr>
        <w:keepNext/>
        <w:spacing w:line="288" w:lineRule="auto" w:after="80"/>
      </w:pPr>
      <w:r>
        <w:rPr>
          <w:color w:val="71847D"/>
          <w:sz w:val="19"/>
        </w:rPr>
        <w:t>官方风险提示 · 风险提示第三项</w:t>
      </w:r>
    </w:p>
    <w:p>
      <w:pPr>
        <w:keepNext/>
        <w:spacing w:line="288" w:lineRule="auto" w:after="80"/>
      </w:pPr>
      <w:r>
        <w:rPr>
          <w:sz w:val="19"/>
        </w:rPr>
        <w:t>求职者面对求职过程中以各种理由要求参加需支付高额费用的培训，才能够安排岗位的情况，应果断拒绝。确有需求参加培训的，应核实培训机构是否具备依法审批的许可资质，是否含有不合理收费项目、贷款内容。</w:t>
      </w:r>
    </w:p>
    <w:p>
      <w:pPr>
        <w:keepNext/>
        <w:spacing w:line="288" w:lineRule="auto" w:after="80"/>
      </w:pPr>
      <w:r>
        <w:rPr>
          <w:b/>
          <w:sz w:val="19"/>
        </w:rPr>
        <w:t xml:space="preserve">适用边界  </w:t>
      </w:r>
      <w:r>
        <w:rPr>
          <w:sz w:val="19"/>
        </w:rPr>
        <w:t>官方风险提示不是违法认定；结合招聘、培训、贷款主体及协议分析。</w:t>
      </w:r>
    </w:p>
    <w:p>
      <w:pPr>
        <w:keepNext/>
        <w:spacing w:line="288" w:lineRule="auto" w:after="80"/>
      </w:pPr>
      <w:r>
        <w:rPr>
          <w:b/>
          <w:sz w:val="19"/>
        </w:rPr>
        <w:t xml:space="preserve">资料核对日期  </w:t>
      </w:r>
      <w:r>
        <w:rPr>
          <w:color w:val="71847D"/>
          <w:sz w:val="19"/>
        </w:rPr>
        <w:t>2026-10-03</w:t>
      </w:r>
    </w:p>
    <w:p>
      <w:pPr>
        <w:keepNext w:val="0"/>
        <w:spacing w:line="288" w:lineRule="auto" w:after="80"/>
      </w:pPr>
      <w:r>
        <w:rPr>
          <w:b/>
          <w:sz w:val="19"/>
        </w:rPr>
        <w:t xml:space="preserve">来源链接  </w:t>
      </w:r>
      <w:r>
        <w:rPr>
          <w:sz w:val="19"/>
        </w:rPr>
      </w:r>
      <w:hyperlink r:id="rId15">
        <w:r>
          <w:rPr>
            <w:color w:val="287B65"/>
          </w:rPr>
          <w:t>https://chinajob.mohrss.gov.cn/c/2026-05-18/543038.shtml</w:t>
        </w:r>
      </w:hyperlink>
    </w:p>
    <w:sectPr w:rsidR="00FC693F" w:rsidRPr="0006063C" w:rsidSect="00034616">
      <w:headerReference w:type="default" r:id="rId9"/>
      <w:footerReference w:type="default" r:id="rId10"/>
      <w:pgSz w:w="11906" w:h="16838"/>
      <w:pgMar w:top="1077" w:right="1134" w:bottom="1020" w:left="113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1847D"/>
        <w:sz w:val="16"/>
      </w:rPr>
      <w:t xml:space="preserve">求职风险自查报告  ·  第 </w:t>
    </w:r>
    <w:fldSimple w:instr="PAGE"/>
    <w:r>
      <w:rPr>
        <w:color w:val="71847D"/>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287B65"/>
        <w:sz w:val="18"/>
      </w:rPr>
      <w:t>求职避坑镜  /  JOB MIRROR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spacing w:line="336" w:lineRule="auto" w:after="140"/>
    </w:pPr>
    <w:rPr>
      <w:rFonts w:ascii="Microsoft YaHei" w:hAnsi="Microsoft YaHei" w:eastAsia="Microsoft YaHei"/>
      <w:color w:val="263D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60"/>
      <w:outlineLvl w:val="0"/>
    </w:pPr>
    <w:rPr>
      <w:rFonts w:asciiTheme="majorHAnsi" w:eastAsiaTheme="majorEastAsia" w:hAnsiTheme="majorHAnsi" w:cstheme="majorBidi" w:ascii="Microsoft YaHei" w:hAnsi="Microsoft YaHei" w:eastAsia="Microsoft YaHei"/>
      <w:b/>
      <w:bCs/>
      <w:color w:val="287B65"/>
      <w:sz w:val="34"/>
      <w:szCs w:val="28"/>
    </w:rPr>
  </w:style>
  <w:style w:type="paragraph" w:styleId="Heading2">
    <w:name w:val="heading 2"/>
    <w:basedOn w:val="Normal"/>
    <w:next w:val="Normal"/>
    <w:link w:val="Heading2Char"/>
    <w:uiPriority w:val="9"/>
    <w:unhideWhenUsed/>
    <w:qFormat/>
    <w:rsid w:val="00FC693F"/>
    <w:pPr>
      <w:keepNext/>
      <w:keepLines/>
      <w:spacing w:before="300" w:after="160"/>
      <w:outlineLvl w:val="1"/>
    </w:pPr>
    <w:rPr>
      <w:rFonts w:asciiTheme="majorHAnsi" w:eastAsiaTheme="majorEastAsia" w:hAnsiTheme="majorHAnsi" w:cstheme="majorBidi" w:ascii="Microsoft YaHei" w:hAnsi="Microsoft YaHei" w:eastAsia="Microsoft YaHei"/>
      <w:b/>
      <w:bCs/>
      <w:color w:val="287B6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D343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Microsoft YaHei" w:hAnsi="Microsoft YaHei" w:eastAsia="Microsoft YaHe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court.gov.cn/zixun/xiangqing/472691.html" TargetMode="External"/><Relationship Id="rId13" Type="http://schemas.openxmlformats.org/officeDocument/2006/relationships/hyperlink" Target="https://flk.npc.gov.cn/" TargetMode="External"/><Relationship Id="rId14" Type="http://schemas.openxmlformats.org/officeDocument/2006/relationships/hyperlink" Target="https://www.samr.gov.cn/zw/zfxxgk/fdzdgknr/bgt/art/2023/art_0abfdd261c03417b949df19d869add8d.html" TargetMode="External"/><Relationship Id="rId15" Type="http://schemas.openxmlformats.org/officeDocument/2006/relationships/hyperlink" Target="https://chinajob.mohrss.gov.cn/c/2026-05-18/543038.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求职风险自查报告</dc:title>
  <dc:subject/>
  <dc:creator>求职避坑镜</dc:creator>
  <cp:keywords/>
  <dc:description>generated by python-docx</dc:description>
  <cp:lastModifiedBy/>
  <cp:revision>1</cp:revision>
  <dcterms:created xsi:type="dcterms:W3CDTF">2013-12-23T23:15:00Z</dcterms:created>
  <dcterms:modified xsi:type="dcterms:W3CDTF">2013-12-23T23:15:00Z</dcterms:modified>
  <cp:category/>
</cp:coreProperties>
</file>