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回测二 技术岗位拟签培训和竞业条款</w:t>
      </w:r>
    </w:p>
    <w:p>
      <w:r>
        <w:rPr>
          <w:color w:val="71847D"/>
        </w:rPr>
        <w:t>第 1 版  |  生成时间：2026-10-08 01:23</w:t>
      </w:r>
    </w:p>
    <w:p>
      <w:r>
        <w:rPr>
          <w:color w:val="71847D"/>
        </w:rPr>
        <w:t>本报告依据已提供材料进行风险提示；风险等级不是违法认定或风险概率。</w:t>
      </w:r>
    </w:p>
    <w:p>
      <w:pPr>
        <w:pStyle w:val="Heading1"/>
      </w:pPr>
      <w:r>
        <w:t>01  结论与风险概览</w:t>
      </w:r>
    </w:p>
    <w:p>
      <w:pPr>
        <w:shd w:fill="EDF6F1"/>
      </w:pPr>
      <w:r>
        <w:t>这是签约前的有限自查，不是法律意见，也不代表已核实该公司资质，更不预测任何诉讼结果。先说结论：录用信息中的正常部分不需要当成"坑"——3年期合同约定6个月试用期没有超过法定上限，5600元试用期工资也达到约定工资7000元和同岗位最低档6000元的80%，每周5天每天8小时，公司不收押金、不扣证件、不要求个人贷款，并承诺签约后交付合同文本，这些都是正常或对求职者有利的安排；公司出资安排第三方专项技术培训本身也是合法的用工安排。真正需要在签字前谈清楚的异常条款有四处：一是服务期协议里"无论服务多久一律付50000元"的离职违约金，以及"可直接从离职当月工资扣除"的授权；二是附件统一要求的离职后36个月竞业限制，超过了法定最长2年；三是与此配套的每月1000元补偿和10万元违约金，与岗位大概率不接触商业秘密的情况明显不相称；四是签约前还无法确认岗位是否接触商业秘密、竞业补偿是否随未来工资增长而调整。由于尚未入职、未签约、未付款，现在是最容易改条款、也最容易被招聘方"统一模板"说服的时刻，建议先书面确认上述条款能否修改，再决定是否签署。</w:t>
      </w:r>
    </w:p>
    <w:p>
      <w:pPr>
        <w:pStyle w:val="Heading2"/>
      </w:pPr>
      <w:r>
        <w:t>签约与入职前，建议先做</w:t>
      </w:r>
    </w:p>
    <w:p>
      <w:r>
        <w:t>签约前先书面谈条款，再决定是否接受offer</w:t>
      </w:r>
    </w:p>
    <w:p>
      <w:pPr>
        <w:pStyle w:val="ListBullet"/>
      </w:pPr>
      <w:r>
        <w:t>先暂缓签署任何文件，尤其是含固定50000元违约金的服务期协议、36个月竞业限制附件和工资代扣授权；只签字不等于条款不能改，但签完再谈难度大很多。</w:t>
      </w:r>
    </w:p>
    <w:p>
      <w:pPr>
        <w:pStyle w:val="ListBullet"/>
      </w:pPr>
      <w:r>
        <w:t>向HR提出三项书面修改请求并保留往来记录：①服务期违约金改为按未履行部分分摊、且不超过公司实际支付的培训费用；②竞业期限改为不超过24个月并收窄地域和行业；③竞业补偿标准与工资挂钩、违约金写入匹配数额。</w:t>
      </w:r>
    </w:p>
    <w:p>
      <w:pPr>
        <w:pStyle w:val="ListBullet"/>
      </w:pPr>
      <w:r>
        <w:t>书面确认该岗位是否实际接触商业秘密、接触哪一类保密信息，以及竞业限制是否只在接触秘密时才适用；把答复留存。</w:t>
      </w:r>
    </w:p>
    <w:p>
      <w:pPr>
        <w:pStyle w:val="ListBullet"/>
      </w:pPr>
      <w:r>
        <w:t>在企业信息公示系统等官方渠道核对公司主体名称与劳动合同签署主体是否一致，确认签约方就是录用通知上的公司，避免与实际用工主体不符。</w:t>
      </w:r>
    </w:p>
    <w:p>
      <w:pPr>
        <w:pStyle w:val="ListBullet"/>
      </w:pPr>
      <w:r>
        <w:t>签约前核对工作地现行最低工资标准，确认5600元试用期工资不低于该标准，并要求书面载明正式工资7000元、试用期工资、工资构成和支付日期。</w:t>
      </w:r>
    </w:p>
    <w:p>
      <w:pPr>
        <w:pStyle w:val="ListBullet"/>
      </w:pPr>
      <w:r>
        <w:t>要求公司在签署前提供合同和全部附件的完整文本（含服务期协议、竞业限制附件），保留一份完整副本和交付凭证，不签空白页或只签不给你副本的文件。</w:t>
      </w:r>
    </w:p>
    <w:p>
      <w:pPr>
        <w:pStyle w:val="ListBullet"/>
      </w:pPr>
      <w:r>
        <w:t>不要向任何一方支付入职费用、押金或提供贷款授权；本材料显示目前没有这类要求，但仍应坚持这一底线。</w:t>
      </w:r>
    </w:p>
    <w:p>
      <w:pPr>
        <w:pStyle w:val="ListBullet"/>
      </w:pPr>
      <w:r>
        <w:t>不要在未看清条款的情况下先签字"占位"，也不要在公司承诺"以后可以改"时放弃书面确认；口头承诺难以证明。</w:t>
      </w:r>
    </w:p>
    <w:p>
      <w:pPr>
        <w:pStyle w:val="ListBullet"/>
      </w:pPr>
      <w:r>
        <w:t>如公司拒绝任何协商且坚持固定50000元违约金加36个月竞业限制，可先用时间比较其他offer，而不是假定这些条款将来不会被执行。</w:t>
      </w:r>
    </w:p>
    <w:p>
      <w:pPr>
        <w:pStyle w:val="ListBullet"/>
      </w:pPr>
      <w:r>
        <w:t>若对条款合法性有疑问，可携带文本向学校就业指导中心、当地人社部门咨询后再签署。</w:t>
      </w:r>
    </w:p>
    <w:p>
      <w:r>
        <w:rPr>
          <w:color w:val="71847D"/>
        </w:rPr>
        <w:t>本计划只针对本次模拟录用信息给出签约前自查与沟通步骤，不构成法律意见，不保证谈判结果，也不代表已核实企业资质；是否接受offer仍由你决定。</w:t>
      </w:r>
    </w:p>
    <w:p>
      <w:r>
        <w:rPr>
          <w:b/>
        </w:rPr>
        <w:t xml:space="preserve">概览依据：  </w:t>
      </w:r>
      <w:r>
        <w:rPr>
          <w:color w:val="71847D"/>
        </w:rPr>
        <w:t>LCL-022、LCL-025、LCL-030、K003、LCL-024、LCL-023、LAB-J2-013、O011-reasoning、O011-outcome、SUP-F15、K002</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服务期协议约定"无论已服务多久一律付50000元离职违约金"，并可直接从离职当月工资扣除</w:t>
            </w:r>
          </w:p>
        </w:tc>
        <w:tc>
          <w:tcPr>
            <w:tcW w:type="dxa" w:w="5443"/>
          </w:tcPr>
          <w:p>
            <w:pPr>
              <w:spacing w:line="288" w:lineRule="auto" w:after="140" w:before="140"/>
            </w:pPr>
            <w:r>
              <w:rPr>
                <w:sz w:val="19"/>
              </w:rPr>
              <w:t>在签署任何含服务期的协议前，先书面（邮件或聊天留痕）提问：违约金能否改为按服务期已履行比例递减计算，并明确以公司实际支付的培训费用为上限。</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统一附件要求离职后36个月竞业限制，超过法定最长2年</w:t>
            </w:r>
          </w:p>
        </w:tc>
        <w:tc>
          <w:tcPr>
            <w:tcW w:type="dxa" w:w="5443"/>
          </w:tcPr>
          <w:p>
            <w:pPr>
              <w:spacing w:line="288" w:lineRule="auto" w:after="140" w:before="140"/>
            </w:pPr>
            <w:r>
              <w:rPr>
                <w:sz w:val="19"/>
              </w:rPr>
              <w:t>书面要求将竞业期限改为不超过24个月，并把地域从"全国"收窄到公司实际经营且有竞争关系的城市或区域，行业范围收窄到与岗位实际接触业务相关的领域。</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每月1000元竞业补偿与10万元违约金明显不相称，且补偿随工资增长无调整机制</w:t>
            </w:r>
          </w:p>
        </w:tc>
        <w:tc>
          <w:tcPr>
            <w:tcW w:type="dxa" w:w="5443"/>
          </w:tcPr>
          <w:p>
            <w:pPr>
              <w:spacing w:line="288" w:lineRule="auto" w:after="140" w:before="140"/>
            </w:pPr>
            <w:r>
              <w:rPr>
                <w:sz w:val="19"/>
              </w:rPr>
              <w:t>书面要求竞业补偿标准与工资挂钩（例如按月工资的一定比例或明确数额），并写明补偿随工资调整而同步调整的机制。</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服务期违约金与竞业限制违约金叠加的书面确认事项（核查项）</w:t>
            </w:r>
          </w:p>
        </w:tc>
        <w:tc>
          <w:tcPr>
            <w:tcW w:type="dxa" w:w="5443"/>
          </w:tcPr>
          <w:p>
            <w:pPr>
              <w:spacing w:line="288" w:lineRule="auto" w:after="140" w:before="140"/>
            </w:pPr>
            <w:r>
              <w:rPr>
                <w:sz w:val="19"/>
              </w:rPr>
              <w:t>向HR书面确认：服务期协议与竞业限制附件是否同时适用、是否可分别签署、任一条款未签署时另一条是否仍有效。</w:t>
            </w:r>
          </w:p>
        </w:tc>
      </w:tr>
    </w:tbl>
    <w:p>
      <w:pPr>
        <w:pStyle w:val="Heading1"/>
      </w:pPr>
      <w:r>
        <w:t>02  风险详情</w:t>
      </w:r>
    </w:p>
    <w:p>
      <w:pPr>
        <w:pStyle w:val="Heading2"/>
        <w:keepNext/>
      </w:pPr>
      <w:r>
        <w:rPr>
          <w:color w:val="B85646"/>
        </w:rPr>
        <w:t>01  服务期协议约定"无论已服务多久一律付50000元离职违约金"，并可直接从离职当月工资扣除  ·  高风险</w:t>
      </w:r>
    </w:p>
    <w:p>
      <w:pPr>
        <w:keepNext/>
        <w:shd w:fill="F3F6F5"/>
      </w:pPr>
      <w:r>
        <w:rPr>
          <w:b/>
        </w:rPr>
        <w:t xml:space="preserve">材料原文  </w:t>
      </w:r>
      <w:r>
        <w:t>若在服务期内主动离职，协议要求无论已服务多久一律向公司支付50000元违约金，可直接从离职当月工资扣除。</w:t>
      </w:r>
    </w:p>
    <w:p>
      <w:pPr>
        <w:keepNext/>
      </w:pPr>
      <w:r>
        <w:rPr>
          <w:b/>
        </w:rPr>
        <w:t xml:space="preserve">原文位置  </w:t>
      </w:r>
      <w:r>
        <w:rPr>
          <w:color w:val="71847D"/>
        </w:rPr>
        <w:t>输入文字.txt · 第1页</w:t>
      </w:r>
    </w:p>
    <w:p>
      <w:pPr>
        <w:keepNext/>
      </w:pPr>
      <w:r>
        <w:rPr>
          <w:b/>
        </w:rPr>
        <w:t xml:space="preserve">风险说明  </w:t>
      </w:r>
      <w:r>
        <w:t>公司出资做第三方专项技术培训，属于可以约定服务期的情形，服务期24个月本身是正常条款；但一个条款是否合理，要看违约时实际该赔多少。材料同时给了三个数字：预计培训费用30000元、服务期24个月、违约金固定50000元，并写明"无论已服务多久"。这意味着即使已经服务满23个月、只剩1个月服务期，仍要按50000元赔付，而法定的计算方式是违约金不得超过公司实际提供的培训费用，且不得超过服务期尚未履行部分应分摊的培训费用。按预计费用30000元、24个月分摊计算，每服务满1个月大约对应1250元，服务越久应赔越少，不会始终停在50000元。另外，协议还要"直接从离职当月工资扣除"，这等于事先把未来工资当成赔款担保，而工资属于劳动报酬，公司应依法及时足额支付，不能凭单方通知直接抵充。需要说明的是，目前培训尚未发生，30000元只是预计费用、不是已支出金额，将来真正受法律保护的费用上限要以机构合同、付款凭证和费用明细能证明的实际支出为准，所以现在不必接受这个上限，但也不宜自行按30000元给出承诺。</w:t>
      </w:r>
    </w:p>
    <w:p>
      <w:pPr>
        <w:keepNext/>
      </w:pPr>
      <w:r>
        <w:rPr>
          <w:b/>
        </w:rPr>
        <w:t xml:space="preserve">分析依据  </w:t>
      </w:r>
      <w:r>
        <w:t>LCL-022 · 中华人民共和国劳动合同法 · 第二十二条</w:t>
      </w:r>
    </w:p>
    <w:p>
      <w:pPr>
        <w:keepNext/>
      </w:pPr>
      <w:r>
        <w:rPr>
          <w:b/>
        </w:rPr>
        <w:t xml:space="preserve">分析依据  </w:t>
      </w:r>
      <w:r>
        <w:t>LCL-025 · 中华人民共和国劳动合同法 · 第二十五条</w:t>
      </w:r>
    </w:p>
    <w:p>
      <w:pPr>
        <w:keepNext/>
      </w:pPr>
      <w:r>
        <w:rPr>
          <w:b/>
        </w:rPr>
        <w:t xml:space="preserve">分析依据  </w:t>
      </w:r>
      <w:r>
        <w:t>LCL-030 · 中华人民共和国劳动合同法 · 第三十条</w:t>
      </w:r>
    </w:p>
    <w:p>
      <w:pPr>
        <w:keepNext/>
      </w:pPr>
      <w:r>
        <w:rPr>
          <w:b/>
        </w:rPr>
        <w:t xml:space="preserve">分析依据  </w:t>
      </w:r>
      <w:r>
        <w:t>K003 · 中华人民共和国劳动合同法 · 第十条</w:t>
      </w:r>
    </w:p>
    <w:p>
      <w:pPr>
        <w:keepNext/>
      </w:pPr>
      <w:r>
        <w:rPr>
          <w:color w:val="287B65"/>
        </w:rPr>
        <w:t>建议行动</w:t>
      </w:r>
    </w:p>
    <w:p>
      <w:pPr>
        <w:pStyle w:val="ListBullet"/>
        <w:keepNext/>
      </w:pPr>
      <w:r>
        <w:t>在签署任何含服务期的协议前，先书面（邮件或聊天留痕）提问：违约金能否改为按服务期已履行比例递减计算，并明确以公司实际支付的培训费用为上限。</w:t>
      </w:r>
    </w:p>
    <w:p>
      <w:pPr>
        <w:pStyle w:val="ListBullet"/>
        <w:keepNext/>
      </w:pPr>
      <w:r>
        <w:t>要求书面明确"服务期起算日"（培训结束日还是入职日）以及中止、调整、公司原因解除等情形怎么算，避免将来计算争议。</w:t>
      </w:r>
    </w:p>
    <w:p>
      <w:pPr>
        <w:pStyle w:val="ListBullet"/>
        <w:keepNext/>
      </w:pPr>
      <w:r>
        <w:t>明确要求删去"可从离职当月工资直接扣除违约金"的授权；如公司坚持，至少要求写明扣款前需双方书面确认金额、并保留争议期间不单方扣款的表述。</w:t>
      </w:r>
    </w:p>
    <w:p>
      <w:pPr>
        <w:pStyle w:val="ListBullet"/>
        <w:keepNext/>
      </w:pPr>
      <w:r>
        <w:t>留存招聘承诺、协议文本、机构课程方案、培训合同、付款凭证和费用明细；将来核对实际支出时不要以30000元预计数或50000元违约金数作为承认金额的依据。</w:t>
      </w:r>
    </w:p>
    <w:p>
      <w:pPr>
        <w:pStyle w:val="ListBullet"/>
        <w:keepNext w:val="0"/>
      </w:pPr>
      <w:r>
        <w:t>自己先算一笔账：按预计费用分摊，服务满12个月时理论上仅剩约15000元，这与50000元固定额的差距就是你最需要在谈判中提出调整的部分。</w:t>
      </w:r>
    </w:p>
    <w:p>
      <w:pPr>
        <w:pStyle w:val="Heading2"/>
        <w:keepNext/>
      </w:pPr>
      <w:r>
        <w:rPr>
          <w:color w:val="B85646"/>
        </w:rPr>
        <w:t>02  统一附件要求离职后36个月竞业限制，超过法定最长2年  ·  高风险</w:t>
      </w:r>
    </w:p>
    <w:p>
      <w:pPr>
        <w:keepNext/>
        <w:shd w:fill="F3F6F5"/>
      </w:pPr>
      <w:r>
        <w:rPr>
          <w:b/>
        </w:rPr>
        <w:t xml:space="preserve">材料原文  </w:t>
      </w:r>
      <w:r>
        <w:t>附件统一要求离职后36个月不得在全国任何互联网公司、软件公司或培训机构任职，公司离职后按月支付1000元竞业补偿；违反约定须付100000元违约金。</w:t>
      </w:r>
    </w:p>
    <w:p>
      <w:pPr>
        <w:keepNext/>
      </w:pPr>
      <w:r>
        <w:rPr>
          <w:b/>
        </w:rPr>
        <w:t xml:space="preserve">原文位置  </w:t>
      </w:r>
      <w:r>
        <w:rPr>
          <w:color w:val="71847D"/>
        </w:rPr>
        <w:t>输入文字.txt · 第1页</w:t>
      </w:r>
    </w:p>
    <w:p>
      <w:pPr>
        <w:keepNext/>
      </w:pPr>
      <w:r>
        <w:rPr>
          <w:b/>
        </w:rPr>
        <w:t xml:space="preserve">风险说明  </w:t>
      </w:r>
      <w:r>
        <w:t>材料写明附件对"所有技术岗统一签"，要求离职后36个月不得在全国任何互联网公司、软件公司或培训机构任职。竞业限制的期限法定最长不得超过二年，36个月已经超出这一上限；限制地域又是"全国"、行业覆盖互联网、软件和培训三类，范围极宽。同时材料说该岗位是公开产品的常规测试，是否接触商业秘密还没明确，而岗位名称本身不能证明接触秘密。竞业限制只适用于高级管理人员、高级技术人员和其他负有保密义务的人员，如果实际并不接触商业秘密，相关条款可能被主张不生效；即使属于适格人员，与真实保密事项不相适应的范围、地域、期限部分也可能被主张超出合理比例而无效。这些是需要结合将来实际情况判断的适用条件，不是说现在签了就一定无效，但对你而言意味着离职后的择业自由被大幅压缩，且要与一个大概率不涉及核心秘密的岗位绑定。另需提醒：36个月本身是未来条款，现在没有发生任何限制，讨论的是如果你签了会发生什么。</w:t>
      </w:r>
    </w:p>
    <w:p>
      <w:pPr>
        <w:keepNext/>
      </w:pPr>
      <w:r>
        <w:rPr>
          <w:b/>
        </w:rPr>
        <w:t xml:space="preserve">分析依据  </w:t>
      </w:r>
      <w:r>
        <w:t>LCL-024 · 中华人民共和国劳动合同法 · 第二十四条</w:t>
      </w:r>
    </w:p>
    <w:p>
      <w:pPr>
        <w:keepNext/>
      </w:pPr>
      <w:r>
        <w:rPr>
          <w:b/>
        </w:rPr>
        <w:t xml:space="preserve">分析依据  </w:t>
      </w:r>
      <w:r>
        <w:t>LCL-023 · 中华人民共和国劳动合同法 · 第二十三条</w:t>
      </w:r>
    </w:p>
    <w:p>
      <w:pPr>
        <w:keepNext/>
      </w:pPr>
      <w:r>
        <w:rPr>
          <w:b/>
        </w:rPr>
        <w:t xml:space="preserve">分析依据  </w:t>
      </w:r>
      <w:r>
        <w:t>LAB-J2-013 · 最高人民法院关于审理劳动争议案件适用法律问题的解释（二）第十三条 · 第十三条</w:t>
      </w:r>
    </w:p>
    <w:p>
      <w:pPr>
        <w:keepNext/>
      </w:pPr>
      <w:r>
        <w:rPr>
          <w:b/>
        </w:rPr>
        <w:t xml:space="preserve">分析依据  </w:t>
      </w:r>
      <w:r>
        <w:t>O011-reasoning · 医药行业竞业限制不能无限扩大到整个行业 · 案例四 · 认定理由</w:t>
      </w:r>
    </w:p>
    <w:p>
      <w:pPr>
        <w:keepNext/>
      </w:pPr>
      <w:r>
        <w:rPr>
          <w:b/>
        </w:rPr>
        <w:t xml:space="preserve">分析依据  </w:t>
      </w:r>
      <w:r>
        <w:t>O011-outcome · 医药行业竞业限制不能无限扩大到整个行业 · 案例四 · 处理结果</w:t>
      </w:r>
    </w:p>
    <w:p>
      <w:pPr>
        <w:keepNext/>
      </w:pPr>
      <w:r>
        <w:rPr>
          <w:color w:val="287B65"/>
        </w:rPr>
        <w:t>建议行动</w:t>
      </w:r>
    </w:p>
    <w:p>
      <w:pPr>
        <w:pStyle w:val="ListBullet"/>
        <w:keepNext/>
      </w:pPr>
      <w:r>
        <w:t>书面要求将竞业期限改为不超过24个月，并把地域从"全国"收窄到公司实际经营且有竞争关系的城市或区域，行业范围收窄到与岗位实际接触业务相关的领域。</w:t>
      </w:r>
    </w:p>
    <w:p>
      <w:pPr>
        <w:pStyle w:val="ListBullet"/>
        <w:keepNext/>
      </w:pPr>
      <w:r>
        <w:t>书面要求写明竞业限制的生效前提：仅在你在职期间实际接触、知悉商业秘密时才适用；如入职后确认只做公开产品常规测试，可要求约定该条款届时不再适用或由公司书面豁免。</w:t>
      </w:r>
    </w:p>
    <w:p>
      <w:pPr>
        <w:pStyle w:val="ListBullet"/>
        <w:keepNext/>
      </w:pPr>
      <w:r>
        <w:t>不要仅凭岗位名称或"统一模板"就默认自己属于需要竞业限制的人员，请HR以书面方式说明该岗位会接触哪一类具体保密信息。</w:t>
      </w:r>
    </w:p>
    <w:p>
      <w:pPr>
        <w:pStyle w:val="ListBullet"/>
        <w:keepNext w:val="0"/>
      </w:pPr>
      <w:r>
        <w:t>参考最高人民法院发布的竞业限制案例可见，限制范围被认定过宽时，可能被限缩到实际知悉的保密事项范围，但个案结论不能直接套用到你的情况，仅作为谈判理由使用。</w:t>
      </w:r>
    </w:p>
    <w:p>
      <w:pPr>
        <w:pStyle w:val="Heading2"/>
        <w:keepNext/>
      </w:pPr>
      <w:r>
        <w:rPr>
          <w:color w:val="B85646"/>
        </w:rPr>
        <w:t>03  每月1000元竞业补偿与10万元违约金明显不相称，且补偿随工资增长无调整机制  ·  高风险</w:t>
      </w:r>
    </w:p>
    <w:p>
      <w:pPr>
        <w:keepNext/>
        <w:shd w:fill="F3F6F5"/>
      </w:pPr>
      <w:r>
        <w:rPr>
          <w:b/>
        </w:rPr>
        <w:t xml:space="preserve">材料原文  </w:t>
      </w:r>
      <w:r>
        <w:t>附件统一要求离职后36个月不得在全国任何互联网公司、软件公司或培训机构任职，公司离职后按月支付1000元竞业补偿；违反约定须付100000元违约金。</w:t>
      </w:r>
    </w:p>
    <w:p>
      <w:pPr>
        <w:keepNext/>
      </w:pPr>
      <w:r>
        <w:rPr>
          <w:b/>
        </w:rPr>
        <w:t xml:space="preserve">原文位置  </w:t>
      </w:r>
      <w:r>
        <w:rPr>
          <w:color w:val="71847D"/>
        </w:rPr>
        <w:t>输入文字.txt · 第1页</w:t>
      </w:r>
    </w:p>
    <w:p>
      <w:pPr>
        <w:keepNext/>
      </w:pPr>
      <w:r>
        <w:rPr>
          <w:b/>
        </w:rPr>
        <w:t xml:space="preserve">风险说明  </w:t>
      </w:r>
      <w:r>
        <w:t>同一附件给出两端的数字：离职后按月支付1000元竞业补偿，违反约定须付100000元违约金。1000元/月相对于转正后7000元的月工资，约相当于约定工资的14%左右，明显偏低；而10万元违约金相当于约14个月工资，也相当于全部竞业补偿的100个月，两者严重失衡。补偿过低时你可能缺乏遵守限制的经济支撑，而一旦被主张违约，对方索要的金额远高于其实际支付的补偿。另外，36个月期限与1000元/月的组合意味着你要在极宽范围内被限制三年，却只获得很有限的补偿。这里需要区分：补偿标准目前并没有全国统一的机械比例结论，具体是否过低以及是否可能调整，需要结合当地规定和实际履行情况判断，所以这是需要谈清楚并写入协议的问题，而不是现在就断定一定能调高或一定不用赔。也要注意，现阶段没有实际发生任何支付或违约。</w:t>
      </w:r>
    </w:p>
    <w:p>
      <w:pPr>
        <w:keepNext/>
      </w:pPr>
      <w:r>
        <w:rPr>
          <w:b/>
        </w:rPr>
        <w:t xml:space="preserve">分析依据  </w:t>
      </w:r>
      <w:r>
        <w:t>LCL-023 · 中华人民共和国劳动合同法 · 第二十三条</w:t>
      </w:r>
    </w:p>
    <w:p>
      <w:pPr>
        <w:keepNext/>
      </w:pPr>
      <w:r>
        <w:rPr>
          <w:b/>
        </w:rPr>
        <w:t xml:space="preserve">分析依据  </w:t>
      </w:r>
      <w:r>
        <w:t>SUP-F15 · 三方协议违约金超过5000元 · 高频问答</w:t>
      </w:r>
    </w:p>
    <w:p>
      <w:pPr>
        <w:keepNext/>
      </w:pPr>
      <w:r>
        <w:rPr>
          <w:b/>
        </w:rPr>
        <w:t xml:space="preserve">分析依据  </w:t>
      </w:r>
      <w:r>
        <w:t>K002 · 中华人民共和国劳动合同法 · 第八条</w:t>
      </w:r>
    </w:p>
    <w:p>
      <w:pPr>
        <w:keepNext/>
      </w:pPr>
      <w:r>
        <w:rPr>
          <w:color w:val="287B65"/>
        </w:rPr>
        <w:t>建议行动</w:t>
      </w:r>
    </w:p>
    <w:p>
      <w:pPr>
        <w:pStyle w:val="ListBullet"/>
        <w:keepNext/>
      </w:pPr>
      <w:r>
        <w:t>书面要求竞业补偿标准与工资挂钩（例如按月工资的一定比例或明确数额），并写明补偿随工资调整而同步调整的机制。</w:t>
      </w:r>
    </w:p>
    <w:p>
      <w:pPr>
        <w:pStyle w:val="ListBullet"/>
        <w:keepNext/>
      </w:pPr>
      <w:r>
        <w:t>要求把竞业违约金写入与补偿、实际损失和限制范围相匹配的数额，删除固定10万元的巨额条款，或至少约定违约金上限。</w:t>
      </w:r>
    </w:p>
    <w:p>
      <w:pPr>
        <w:pStyle w:val="ListBullet"/>
        <w:keepNext/>
      </w:pPr>
      <w:r>
        <w:t>要求明确补偿的支付时间、方式，以及公司逾期不支付或未按约支付时条款的处理（例如停止限制或你无需承担违约责任）。</w:t>
      </w:r>
    </w:p>
    <w:p>
      <w:pPr>
        <w:pStyle w:val="ListBullet"/>
        <w:keepNext w:val="0"/>
      </w:pPr>
      <w:r>
        <w:t>索取书面版竞业限制附件全文，逐条核对期限、地域、行业、补偿、违约金、豁免程序，确认与你谈判后的版本一致再签字。</w:t>
      </w:r>
    </w:p>
    <w:p>
      <w:pPr>
        <w:pStyle w:val="Heading2"/>
        <w:keepNext/>
      </w:pPr>
      <w:r>
        <w:rPr>
          <w:color w:val="69798B"/>
        </w:rPr>
        <w:t>04  服务期违约金与竞业限制违约金叠加的书面确认事项（核查项）  ·  待核实</w:t>
      </w:r>
    </w:p>
    <w:p>
      <w:pPr>
        <w:keepNext/>
        <w:shd w:fill="F3F6F5"/>
      </w:pPr>
      <w:r>
        <w:rPr>
          <w:b/>
        </w:rPr>
        <w:t xml:space="preserve">材料原文  </w:t>
      </w:r>
      <w:r>
        <w:t>50000元离职违约金和36个月全国竞业范围目前不会改，所有技术岗统一签。</w:t>
      </w:r>
    </w:p>
    <w:p>
      <w:pPr>
        <w:keepNext/>
      </w:pPr>
      <w:r>
        <w:rPr>
          <w:b/>
        </w:rPr>
        <w:t xml:space="preserve">原文位置  </w:t>
      </w:r>
      <w:r>
        <w:rPr>
          <w:color w:val="71847D"/>
        </w:rPr>
        <w:t>输入文字.txt · 第1页</w:t>
      </w:r>
    </w:p>
    <w:p>
      <w:pPr>
        <w:keepNext/>
      </w:pPr>
      <w:r>
        <w:rPr>
          <w:b/>
        </w:rPr>
        <w:t xml:space="preserve">风险说明  </w:t>
      </w:r>
      <w:r>
        <w:t>材料显示50000元离职违约金和36个月全国竞业范围"目前不会改、所有技术岗统一签"，说明招聘方倾向于不接受个别协商。这本身不等于违法，但对求职者的实际意义是：你将来离职时可能同时面临服务期违约金（离职即触发）和竞业限制违约金（再次就业到受限单位才触发）两套责任，二者触发条件不同、可以并存。这是否构成实质负担，取决于你实际入职后是否接触秘密、离职原因和届时的具体约定。现阶段尚未接受offer、未履行任何条款，也没有发生扣薪或被限制入职，所以不构成本轮的高风险事实，只需要在签字前把两套条款的触发条件和计算方式都看清楚，避免只关注其中一个。</w:t>
      </w:r>
    </w:p>
    <w:p>
      <w:pPr>
        <w:keepNext/>
      </w:pPr>
      <w:r>
        <w:rPr>
          <w:b/>
        </w:rPr>
        <w:t xml:space="preserve">分析依据  </w:t>
      </w:r>
      <w:r>
        <w:t>LCL-022 · 中华人民共和国劳动合同法 · 第二十二条</w:t>
      </w:r>
    </w:p>
    <w:p>
      <w:pPr>
        <w:keepNext/>
      </w:pPr>
      <w:r>
        <w:rPr>
          <w:b/>
        </w:rPr>
        <w:t xml:space="preserve">分析依据  </w:t>
      </w:r>
      <w:r>
        <w:t>LCL-023 · 中华人民共和国劳动合同法 · 第二十三条</w:t>
      </w:r>
    </w:p>
    <w:p>
      <w:pPr>
        <w:keepNext/>
      </w:pPr>
      <w:r>
        <w:rPr>
          <w:b/>
        </w:rPr>
        <w:t xml:space="preserve">分析依据  </w:t>
      </w:r>
      <w:r>
        <w:t>LCL-024 · 中华人民共和国劳动合同法 · 第二十四条</w:t>
      </w:r>
    </w:p>
    <w:p>
      <w:pPr>
        <w:keepNext/>
      </w:pPr>
      <w:r>
        <w:rPr>
          <w:color w:val="287B65"/>
        </w:rPr>
        <w:t>建议行动</w:t>
      </w:r>
    </w:p>
    <w:p>
      <w:pPr>
        <w:pStyle w:val="ListBullet"/>
        <w:keepNext/>
      </w:pPr>
      <w:r>
        <w:t>向HR书面确认：服务期协议与竞业限制附件是否同时适用、是否可分别签署、任一条款未签署时另一条是否仍有效。</w:t>
      </w:r>
    </w:p>
    <w:p>
      <w:pPr>
        <w:pStyle w:val="ListBullet"/>
        <w:keepNext/>
      </w:pPr>
      <w:r>
        <w:t>要求书面说明两套条款的触发条件差异，以及是否存在"公司出资培训"与"竞业限制"分别对应的独立文件清单。</w:t>
      </w:r>
    </w:p>
    <w:p>
      <w:pPr>
        <w:pStyle w:val="ListBullet"/>
        <w:keepNext w:val="0"/>
      </w:pPr>
      <w:r>
        <w:t>如果公司明确拒绝就上述任何条款协商，请把这一答复留痕，作为你决定是否接受offer的参考，而不是直接假设条款将来一定不会被主张。</w:t>
      </w:r>
    </w:p>
    <w:p>
      <w:pPr>
        <w:pStyle w:val="Heading1"/>
      </w:pPr>
      <w:r>
        <w:t>03  待核实事项与分析局限</w:t>
      </w:r>
    </w:p>
    <w:p>
      <w:pPr>
        <w:pStyle w:val="ListBullet"/>
      </w:pPr>
      <w:r>
        <w:t>本次分析仅基于用户提供的模拟材料，材料本身标注为模拟信息，所有事实（公司名称、岗位、培训与竞业附件内容）均未核实，也未核实该公司的营业执照、招聘授权和实际经营情况。</w:t>
      </w:r>
    </w:p>
    <w:p>
      <w:pPr>
        <w:pStyle w:val="ListBullet"/>
      </w:pPr>
      <w:r>
        <w:t>公司出具的"录用通知、服务期协议、竞业限制附件"原文未见，目前只有概述性描述，条款其他细节（服务期起算日、违约金递减方式、补偿免税与个税处理、竞业豁免程序）是否另有约定未知。</w:t>
      </w:r>
    </w:p>
    <w:p>
      <w:pPr>
        <w:pStyle w:val="ListBullet"/>
      </w:pPr>
      <w:r>
        <w:t>该测试岗位是否接触商业秘密，材料明确为"尚未明确"，因此无法判断竞业限制条款将来是否会被认定不生效，只能作为签约前必须问清的事项。</w:t>
      </w:r>
    </w:p>
    <w:p>
      <w:pPr>
        <w:pStyle w:val="ListBullet"/>
      </w:pPr>
      <w:r>
        <w:t>培训尚未发生，30000元是预计费用而非已支出金额，机构合同、付款凭证、费用明细均未提供，将来能受保护的费用上限无法现在确定。</w:t>
      </w:r>
    </w:p>
    <w:p>
      <w:pPr>
        <w:pStyle w:val="ListBullet"/>
      </w:pPr>
      <w:r>
        <w:t>用户所在地的最低工资标准未提供，5600元试用期工资虽然满足7000元和6000元两个80%的比较，但仍需在签约前核对当地最低工资标准这一底线条件。</w:t>
      </w:r>
    </w:p>
    <w:p>
      <w:pPr>
        <w:pStyle w:val="ListBullet"/>
      </w:pPr>
      <w:r>
        <w:t>每月1000元竞业补偿是否偏低、能否请求调整，目前没有全国统一的机械比例结论可以直接套用，需要结合工作地现行规定和实际履行情况另行核实，本报告不作定论。</w:t>
      </w:r>
    </w:p>
    <w:p>
      <w:pPr>
        <w:pStyle w:val="ListBullet"/>
      </w:pPr>
      <w:r>
        <w:t>本报告不预测诉讼或仲裁结果，也不评价将来仲裁或法院会如何认定具体条款，只能说明条款与现行规则的差距及应当提前谈清楚的内容。</w:t>
      </w:r>
    </w:p>
    <w:p>
      <w:pPr>
        <w:pStyle w:val="ListBullet"/>
      </w:pPr>
      <w:r>
        <w:t>案例与辅助资料仅用于类比和解释，不是规范原文，也不代表你的个案结论；最高人民法院发布的竞业限制案例的行业、岗位和事实与你的情况不同。</w:t>
      </w:r>
    </w:p>
    <w:p>
      <w:pPr>
        <w:pStyle w:val="ListBullet"/>
      </w:pPr>
      <w:r>
        <w:t>本报告不是法律意见，也不构成已核验企业资质或安全保证；如需就具体条款主张权利，建议咨询学校就业指导中心、当地人社部门或执业律师。</w:t>
      </w:r>
    </w:p>
    <w:p>
      <w:pPr>
        <w:pStyle w:val="Heading2"/>
      </w:pPr>
      <w:r>
        <w:t>关联自查清单</w:t>
      </w:r>
    </w:p>
    <w:p>
      <w:r>
        <w:rPr>
          <w:color w:val="71847D"/>
        </w:rPr>
        <w:t>可在当前会话补充这些信息，必要时再修订报告；未确认的情形不计为新增风险。</w:t>
      </w:r>
    </w:p>
    <w:p>
      <w:pPr>
        <w:pStyle w:val="ListBullet"/>
      </w:pPr>
      <w:r>
        <w:t>该岗位实际会接触哪一类保密信息？公司能否书面说明并提出限缩后的竞业范围？</w:t>
      </w:r>
    </w:p>
    <w:p>
      <w:pPr>
        <w:pStyle w:val="ListBullet"/>
      </w:pPr>
      <w:r>
        <w:t>公司是否同意服务期违约金按未履行部分分摊、并删除工资直接代扣授权？</w:t>
      </w:r>
    </w:p>
    <w:p>
      <w:pPr>
        <w:pStyle w:val="ListBullet"/>
      </w:pPr>
      <w:r>
        <w:t>合同签署主体与录用通知上的公司是否为同一主体，工作地最低工资标准是多少？</w:t>
      </w:r>
    </w:p>
    <w:p>
      <w:pPr>
        <w:pStyle w:val="Heading1"/>
      </w:pPr>
      <w:r>
        <w:t>04  依据与来源</w:t>
      </w:r>
    </w:p>
    <w:p>
      <w:r>
        <w:rPr>
          <w:color w:val="71847D"/>
        </w:rPr>
        <w:t>法条、风险提示、指南及案例分别标注；案例结论只用于个案参考。</w:t>
      </w:r>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LCL-024  中华人民共和国劳动合同法</w:t>
      </w:r>
    </w:p>
    <w:p>
      <w:pPr>
        <w:keepNext/>
        <w:spacing w:line="288" w:lineRule="auto" w:after="80"/>
      </w:pPr>
      <w:r>
        <w:rPr>
          <w:color w:val="71847D"/>
          <w:sz w:val="19"/>
        </w:rPr>
        <w:t>法律条文 · 第二十四条</w:t>
      </w:r>
    </w:p>
    <w:p>
      <w:pPr>
        <w:keepNext/>
        <w:spacing w:line="288" w:lineRule="auto" w:after="80"/>
      </w:pPr>
      <w:r>
        <w:rPr>
          <w:sz w:val="19"/>
        </w:rPr>
        <w:t>第二十四条　竞业限制的人员限于用人单位的高级管理人员、高级技术人员和其他负有保密义务的人员。竞业限制的范围、地域、期限由用人单位与劳动者约定，竞业限制的约定不得违反法律、法规的规定。</w:t>
      </w:r>
      <w:r>
        <w:rPr>
          <w:sz w:val="19"/>
        </w:rPr>
        <w:br/>
      </w:r>
      <w:r>
        <w:rPr>
          <w:sz w:val="19"/>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LAB-J2-013  最高人民法院关于审理劳动争议案件适用法律问题的解释（二）第十三条</w:t>
      </w:r>
    </w:p>
    <w:p>
      <w:pPr>
        <w:keepNext/>
        <w:spacing w:line="288" w:lineRule="auto" w:after="80"/>
      </w:pPr>
      <w:r>
        <w:rPr>
          <w:color w:val="71847D"/>
          <w:sz w:val="19"/>
        </w:rPr>
        <w:t>法律条文 · 第十三条</w:t>
      </w:r>
    </w:p>
    <w:p>
      <w:pPr>
        <w:keepNext/>
        <w:spacing w:line="288" w:lineRule="auto" w:after="80"/>
      </w:pPr>
      <w:r>
        <w:rPr>
          <w:sz w:val="19"/>
        </w:rPr>
        <w:t>第十三条　劳动者未知悉、接触用人单位的商业秘密和与知识产权相关的保密事项，劳动者请求确认竞业限制条款不生效的，人民法院依法予以支持。</w:t>
      </w:r>
      <w:r>
        <w:rPr>
          <w:sz w:val="19"/>
        </w:rPr>
        <w:br/>
      </w:r>
      <w:r>
        <w:rPr>
          <w:sz w:val="19"/>
        </w:rPr>
        <w:t>竞业限制条款约定的竞业限制范围、地域、期限等内容与劳动者知悉、接触的商业秘密和与知识产权相关的保密事项不相适应，劳动者请求确认竞业限制条款超过合理比例部分无效的，人民法院依法予以支持。</w:t>
      </w:r>
    </w:p>
    <w:p>
      <w:pPr>
        <w:keepNext/>
        <w:spacing w:line="288" w:lineRule="auto" w:after="80"/>
      </w:pPr>
      <w:r>
        <w:rPr>
          <w:b/>
          <w:sz w:val="19"/>
        </w:rPr>
        <w:t xml:space="preserve">适用边界  </w:t>
      </w:r>
      <w:r>
        <w:rPr>
          <w:sz w:val="19"/>
        </w:rPr>
        <w:t>2025年9月1日起施行，历史案须核对当时版本；竞业主体和真实保密事项均需核实。</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https://www.court.gov.cn/zixun/xiangqing/472691.html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https://rsj.sh.gov.cn/tgwyxzfgwj_17255/20200617/t0035_1388240.html</w:t>
        </w:r>
      </w:hyperlink>
    </w:p>
    <w:p>
      <w:pPr>
        <w:pStyle w:val="Heading2"/>
        <w:keepNext/>
      </w:pPr>
      <w:r>
        <w:t>PRE-W-identity  招聘个人信息、账户及证件保护</w:t>
      </w:r>
    </w:p>
    <w:p>
      <w:pPr>
        <w:keepNext/>
        <w:spacing w:line="288" w:lineRule="auto" w:after="80"/>
      </w:pPr>
      <w:r>
        <w:rPr>
          <w:color w:val="71847D"/>
          <w:sz w:val="19"/>
        </w:rPr>
        <w:t>官方风险提示 · 严守隐私，防范信息泄露</w:t>
      </w:r>
    </w:p>
    <w:p>
      <w:pPr>
        <w:keepNext/>
        <w:spacing w:line="288" w:lineRule="auto" w:after="80"/>
      </w:pPr>
      <w:r>
        <w:rPr>
          <w:sz w:val="19"/>
        </w:rPr>
        <w:t>先多渠道核验单位证照与岗位信息；警惕陌生招聘链接、转到私聊后要求下载APP，不泄露银行卡及网银密码。信息被盗用或遭受诈骗时向公安机关求助。</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广州市花都区政府转载人社部提示</w:t>
      </w:r>
    </w:p>
    <w:p>
      <w:pPr>
        <w:keepNext w:val="0"/>
        <w:spacing w:line="288" w:lineRule="auto" w:after="80"/>
      </w:pPr>
      <w:r>
        <w:rPr>
          <w:b/>
          <w:sz w:val="19"/>
        </w:rPr>
        <w:t xml:space="preserve">来源链接  </w:t>
      </w:r>
      <w:r>
        <w:rPr>
          <w:sz w:val="19"/>
        </w:rPr>
      </w:r>
      <w:hyperlink r:id="rId16">
        <w:r>
          <w:rPr>
            <w:color w:val="287B65"/>
          </w:rPr>
          <w:t>https://www.huadu.gov.cn/zdlyxxgk/jycy/jycyxx/content/mpost_10394951.html</w:t>
        </w:r>
      </w:hyperlink>
    </w:p>
    <w:p>
      <w:pPr>
        <w:pStyle w:val="Heading2"/>
        <w:keepNext/>
      </w:pPr>
      <w:r>
        <w:t>O011-reasoning  医药行业竞业限制不能无限扩大到整个行业</w:t>
      </w:r>
    </w:p>
    <w:p>
      <w:pPr>
        <w:keepNext/>
        <w:spacing w:line="288" w:lineRule="auto" w:after="80"/>
      </w:pPr>
      <w:r>
        <w:rPr>
          <w:color w:val="71847D"/>
          <w:sz w:val="19"/>
        </w:rPr>
        <w:t>案例参考 · 案例四 · 认定理由</w:t>
      </w:r>
    </w:p>
    <w:p>
      <w:pPr>
        <w:keepNext/>
        <w:spacing w:line="288" w:lineRule="auto" w:after="80"/>
      </w:pPr>
      <w:r>
        <w:rPr>
          <w:sz w:val="19"/>
        </w:rPr>
        <w:t>【官方发布案例的核对摘要，非完整裁判文书】法院将限制范围限定于已知悉的保密事项，并结合适应症、作用机理、用药方案判断产品可替代性，认定新旧单位相关产品无竞争关系。</w:t>
      </w:r>
    </w:p>
    <w:p>
      <w:pPr>
        <w:keepNext/>
        <w:spacing w:line="288" w:lineRule="auto" w:after="80"/>
      </w:pPr>
      <w:r>
        <w:rPr>
          <w:b/>
          <w:sz w:val="19"/>
        </w:rPr>
        <w:t xml:space="preserve">适用边界  </w:t>
      </w:r>
      <w:r>
        <w:rPr>
          <w:sz w:val="19"/>
        </w:rPr>
        <w:t>该案劳动者属于竞业限制人员，但具体限制范围过宽；不能据此认定所有同业跳槽均不违约。</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7">
        <w:r>
          <w:rPr>
            <w:color w:val="287B65"/>
          </w:rPr>
          <w:t>https://www.court.gov.cn/zixun/xiangqing/472681.html</w:t>
        </w:r>
      </w:hyperlink>
    </w:p>
    <w:p>
      <w:pPr>
        <w:pStyle w:val="Heading2"/>
        <w:keepNext/>
      </w:pPr>
      <w:r>
        <w:t>O011-outcome  医药行业竞业限制不能无限扩大到整个行业</w:t>
      </w:r>
    </w:p>
    <w:p>
      <w:pPr>
        <w:keepNext/>
        <w:spacing w:line="288" w:lineRule="auto" w:after="80"/>
      </w:pPr>
      <w:r>
        <w:rPr>
          <w:color w:val="71847D"/>
          <w:sz w:val="19"/>
        </w:rPr>
        <w:t>案例参考 · 案例四 · 处理结果</w:t>
      </w:r>
    </w:p>
    <w:p>
      <w:pPr>
        <w:keepNext/>
        <w:spacing w:line="288" w:lineRule="auto" w:after="80"/>
      </w:pPr>
      <w:r>
        <w:rPr>
          <w:sz w:val="19"/>
        </w:rPr>
        <w:t>【官方发布案例的核对摘要，非完整裁判文书】法院驳回原单位全部诉讼请求。710万元是单位提出的请求，不是判赔金额。</w:t>
      </w:r>
    </w:p>
    <w:p>
      <w:pPr>
        <w:keepNext/>
        <w:spacing w:line="288" w:lineRule="auto" w:after="80"/>
      </w:pPr>
      <w:r>
        <w:rPr>
          <w:b/>
          <w:sz w:val="19"/>
        </w:rPr>
        <w:t xml:space="preserve">适用边界  </w:t>
      </w:r>
      <w:r>
        <w:rPr>
          <w:sz w:val="19"/>
        </w:rPr>
        <w:t>该案劳动者属于竞业限制人员，但具体限制范围过宽；不能据此认定所有同业跳槽均不违约。</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7">
        <w:r>
          <w:rPr>
            <w:color w:val="287B65"/>
          </w:rPr>
          <w:t>https://www.court.gov.cn/zixun/xiangqing/472681.html</w:t>
        </w:r>
      </w:hyperlink>
    </w:p>
    <w:p>
      <w:pPr>
        <w:pStyle w:val="Heading2"/>
        <w:keepNext/>
      </w:pPr>
      <w:r>
        <w:t>C001-facts  毕业生入职前就业协议违约争议</w:t>
      </w:r>
    </w:p>
    <w:p>
      <w:pPr>
        <w:keepNext/>
        <w:spacing w:line="288" w:lineRule="auto" w:after="80"/>
      </w:pPr>
      <w:r>
        <w:rPr>
          <w:color w:val="71847D"/>
          <w:sz w:val="19"/>
        </w:rPr>
        <w:t>案例参考 · 案情与争点；用户提供文书 P19–P21</w:t>
      </w:r>
    </w:p>
    <w:p>
      <w:pPr>
        <w:keepNext/>
        <w:spacing w:line="288" w:lineRule="auto" w:after="80"/>
      </w:pPr>
      <w:r>
        <w:rPr>
          <w:sz w:val="19"/>
        </w:rPr>
        <w:t>【用户提供裁判文书的脱敏整理，已对照本地文档，官方真实性与完整性待核验；非法律原文】</w:t>
      </w:r>
      <w:r>
        <w:rPr>
          <w:sz w:val="19"/>
        </w:rPr>
        <w:br/>
      </w:r>
      <w:r>
        <w:rPr>
          <w:sz w:val="19"/>
        </w:rPr>
        <w:t>法院查明：毕业生与某高校签订引进毕业生协议，约定报到期限及未报到的违约责任。毕业生后来选择攻读博士而未按约报到。高校请求承担违约责任；毕业生主张应按劳动合同法限制违约金。双方尚未实际建立劳动关系。</w:t>
      </w:r>
    </w:p>
    <w:p>
      <w:pPr>
        <w:keepNext/>
        <w:spacing w:line="288" w:lineRule="auto" w:after="80"/>
      </w:pPr>
      <w:r>
        <w:rPr>
          <w:b/>
          <w:sz w:val="19"/>
        </w:rPr>
        <w:t xml:space="preserve">适用边界  </w:t>
      </w:r>
      <w:r>
        <w:rPr>
          <w:sz w:val="19"/>
        </w:rPr>
        <w:t>只反映该案对入职前协议性质的判断，不能推导所有三方协议违约金均有效；已实际用工的情况须另行核实。</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P19–P21</w:t>
      </w:r>
    </w:p>
    <w:p>
      <w:pPr>
        <w:pStyle w:val="Heading2"/>
        <w:keepNext/>
      </w:pPr>
      <w:r>
        <w:t>C001-outcome  毕业生入职前就业协议违约争议</w:t>
      </w:r>
    </w:p>
    <w:p>
      <w:pPr>
        <w:keepNext/>
        <w:spacing w:line="288" w:lineRule="auto" w:after="80"/>
      </w:pPr>
      <w:r>
        <w:rPr>
          <w:color w:val="71847D"/>
          <w:sz w:val="19"/>
        </w:rPr>
        <w:t>案例参考 · 裁判结果；用户提供文书 P20、P25–P28</w:t>
      </w:r>
    </w:p>
    <w:p>
      <w:pPr>
        <w:keepNext/>
        <w:spacing w:line="288" w:lineRule="auto" w:after="80"/>
      </w:pPr>
      <w:r>
        <w:rPr>
          <w:sz w:val="19"/>
        </w:rPr>
        <w:t>【用户提供裁判文书的脱敏整理，已对照本地文档，官方真实性与完整性待核验；非法律原文】</w:t>
      </w:r>
      <w:r>
        <w:rPr>
          <w:sz w:val="19"/>
        </w:rPr>
        <w:br/>
      </w:r>
      <w:r>
        <w:rPr>
          <w:sz w:val="19"/>
        </w:rPr>
        <w:t>一审判令毕业生支付剩余违约金49000元；二审驳回上诉、维持原判，文书载明为终审判决。此金额为个案裁判结果，不能当作统一赔偿标准。原文关于50000元是否包含已付1000元的表述有差异，本摘要以一审判项及二审维持结果为准。</w:t>
      </w:r>
    </w:p>
    <w:p>
      <w:pPr>
        <w:keepNext/>
        <w:spacing w:line="288" w:lineRule="auto" w:after="80"/>
      </w:pPr>
      <w:r>
        <w:rPr>
          <w:b/>
          <w:sz w:val="19"/>
        </w:rPr>
        <w:t xml:space="preserve">适用边界  </w:t>
      </w:r>
      <w:r>
        <w:rPr>
          <w:sz w:val="19"/>
        </w:rPr>
        <w:t>只反映该案对入职前协议性质的判断，不能推导所有三方协议违约金均有效；已实际用工的情况须另行核实。</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P20、P25–P28</w:t>
      </w:r>
    </w:p>
    <w:p>
      <w:pPr>
        <w:pStyle w:val="Heading2"/>
        <w:keepNext/>
      </w:pPr>
      <w:r>
        <w:t>C001-reasoning  毕业生入职前就业协议违约争议</w:t>
      </w:r>
    </w:p>
    <w:p>
      <w:pPr>
        <w:keepNext/>
        <w:spacing w:line="288" w:lineRule="auto" w:after="80"/>
      </w:pPr>
      <w:r>
        <w:rPr>
          <w:color w:val="71847D"/>
          <w:sz w:val="19"/>
        </w:rPr>
        <w:t>案例参考 · 法院理由；用户提供文书 P20、P22–P24</w:t>
      </w:r>
    </w:p>
    <w:p>
      <w:pPr>
        <w:keepNext/>
        <w:spacing w:line="288" w:lineRule="auto" w:after="80"/>
      </w:pPr>
      <w:r>
        <w:rPr>
          <w:sz w:val="19"/>
        </w:rPr>
        <w:t>【用户提供裁判文书的脱敏整理，已对照本地文档，官方真实性与完整性待核验；非法律原文】</w:t>
      </w:r>
      <w:r>
        <w:rPr>
          <w:sz w:val="19"/>
        </w:rPr>
        <w:br/>
      </w:r>
      <w:r>
        <w:rPr>
          <w:sz w:val="19"/>
        </w:rPr>
        <w:t>二审法院认为：案涉就业协议体现未来建立劳动关系的意向，与实际用工后形成的劳动合同在主体、内容及签订时间方面存在区别。该案不按劳动合同处理；毕业生未按约报到构成违约。该案法院支持高校主张的违约责任，不代表实际劳动合同可以任意约定违约金。</w:t>
      </w:r>
    </w:p>
    <w:p>
      <w:pPr>
        <w:keepNext/>
        <w:spacing w:line="288" w:lineRule="auto" w:after="80"/>
      </w:pPr>
      <w:r>
        <w:rPr>
          <w:b/>
          <w:sz w:val="19"/>
        </w:rPr>
        <w:t xml:space="preserve">适用边界  </w:t>
      </w:r>
      <w:r>
        <w:rPr>
          <w:sz w:val="19"/>
        </w:rPr>
        <w:t>只反映该案对入职前协议性质的判断，不能推导所有三方协议违约金均有效；已实际用工的情况须另行核实。</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P20、P22–P24</w:t>
      </w:r>
    </w:p>
    <w:p>
      <w:pPr>
        <w:pStyle w:val="Heading2"/>
        <w:keepNext/>
      </w:pPr>
      <w:r>
        <w:t>O011-facts  医药行业竞业限制不能无限扩大到整个行业</w:t>
      </w:r>
    </w:p>
    <w:p>
      <w:pPr>
        <w:keepNext/>
        <w:spacing w:line="288" w:lineRule="auto" w:after="80"/>
      </w:pPr>
      <w:r>
        <w:rPr>
          <w:color w:val="71847D"/>
          <w:sz w:val="19"/>
        </w:rPr>
        <w:t>案例参考 · 案例四 · 基本案情</w:t>
      </w:r>
    </w:p>
    <w:p>
      <w:pPr>
        <w:keepNext/>
        <w:spacing w:line="288" w:lineRule="auto" w:after="80"/>
      </w:pPr>
      <w:r>
        <w:rPr>
          <w:sz w:val="19"/>
        </w:rPr>
        <w:t>【官方发布案例的核对摘要，非完整裁判文书】首席技术官离职后加入生物公司，原单位认为均属医药行业，主张710万元违约金等；劳动者仅接触关联公司两款药物的保密信息。</w:t>
      </w:r>
    </w:p>
    <w:p>
      <w:pPr>
        <w:keepNext/>
        <w:spacing w:line="288" w:lineRule="auto" w:after="80"/>
      </w:pPr>
      <w:r>
        <w:rPr>
          <w:b/>
          <w:sz w:val="19"/>
        </w:rPr>
        <w:t xml:space="preserve">适用边界  </w:t>
      </w:r>
      <w:r>
        <w:rPr>
          <w:sz w:val="19"/>
        </w:rPr>
        <w:t>该案劳动者属于竞业限制人员，但具体限制范围过宽；不能据此认定所有同业跳槽均不违约。</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7">
        <w:r>
          <w:rPr>
            <w:color w:val="287B65"/>
          </w:rPr>
          <w:t>https://www.court.gov.cn/zixun/xiangqing/472681.html</w:t>
        </w:r>
      </w:hyperlink>
    </w:p>
    <w:p>
      <w:pPr>
        <w:pStyle w:val="Heading2"/>
        <w:keepNext/>
      </w:pPr>
      <w:r>
        <w:t>SUP-F15  三方协议违约金超过5000元</w:t>
      </w:r>
    </w:p>
    <w:p>
      <w:pPr>
        <w:keepNext/>
        <w:spacing w:line="288" w:lineRule="auto" w:after="80"/>
      </w:pPr>
      <w:r>
        <w:rPr>
          <w:color w:val="71847D"/>
          <w:sz w:val="19"/>
        </w:rPr>
        <w:t>辅助资料（团队整理） · 高频问答</w:t>
      </w:r>
    </w:p>
    <w:p>
      <w:pPr>
        <w:keepNext/>
        <w:spacing w:line="288" w:lineRule="auto" w:after="80"/>
      </w:pPr>
      <w:r>
        <w:rPr>
          <w:sz w:val="19"/>
        </w:rPr>
        <w:t>不存在统一的5000元或5万元判定阈值。应核对是否违约、条款、实际损失、请求调整的条件；过分高于损失可依法请求适当减少，结果不能保证。劳动合同违约金另须核对劳动合同法第二十二至二十五条，不能混用。</w:t>
      </w:r>
      <w:r>
        <w:rPr>
          <w:sz w:val="19"/>
        </w:rPr>
        <w:br/>
      </w:r>
      <w:r>
        <w:rPr>
          <w:sz w:val="19"/>
        </w:rPr>
        <w:t>关联依据编号：SUP-L-civil-585、LCL-022、LCL-023、LCL-025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8">
        <w:r>
          <w:rPr>
            <w:color w:val="287B65"/>
          </w:rPr>
          <w:t>https://www.court.gov.cn/zixun/xiangqing/233181.html</w:t>
        </w:r>
      </w:hyperlink>
    </w:p>
    <w:p>
      <w:pPr>
        <w:pStyle w:val="Heading2"/>
        <w:keepNext/>
      </w:pPr>
      <w:r>
        <w:t>SUP-F01  三方协议与劳动合同区别</w:t>
      </w:r>
    </w:p>
    <w:p>
      <w:pPr>
        <w:keepNext/>
        <w:spacing w:line="288" w:lineRule="auto" w:after="80"/>
      </w:pPr>
      <w:r>
        <w:rPr>
          <w:color w:val="71847D"/>
          <w:sz w:val="19"/>
        </w:rPr>
        <w:t>辅助资料（团队整理） · 高频问答</w:t>
      </w:r>
    </w:p>
    <w:p>
      <w:pPr>
        <w:keepNext/>
        <w:spacing w:line="288" w:lineRule="auto" w:after="80"/>
      </w:pPr>
      <w:r>
        <w:rPr>
          <w:sz w:val="19"/>
        </w:rPr>
        <w:t>三方协议通常解决毕业生就业约定，劳动合同确认用工权利义务。不能概括为入职后三方协议全部自动失效；违约金等条款应结合约定和履行情况另行分析。</w:t>
      </w:r>
      <w:r>
        <w:rPr>
          <w:sz w:val="19"/>
        </w:rPr>
        <w:br/>
      </w:r>
      <w:r>
        <w:rPr>
          <w:sz w:val="19"/>
        </w:rPr>
        <w:t>关联依据编号：K003、SUP-L-civil-585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9">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472691.html" TargetMode="External"/><Relationship Id="rId15" Type="http://schemas.openxmlformats.org/officeDocument/2006/relationships/hyperlink" Target="https://rsj.sh.gov.cn/tgwyxzfgwj_17255/20200617/t0035_1388240.html" TargetMode="External"/><Relationship Id="rId16" Type="http://schemas.openxmlformats.org/officeDocument/2006/relationships/hyperlink" Target="https://www.huadu.gov.cn/zdlyxxgk/jycy/jycyxx/content/mpost_10394951.html" TargetMode="External"/><Relationship Id="rId17" Type="http://schemas.openxmlformats.org/officeDocument/2006/relationships/hyperlink" Target="https://www.court.gov.cn/zixun/xiangqing/472681.html" TargetMode="External"/><Relationship Id="rId18" Type="http://schemas.openxmlformats.org/officeDocument/2006/relationships/hyperlink" Target="https://www.court.gov.cn/zixun/xiangqing/233181.html" TargetMode="External"/><Relationship Id="rId19"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