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回测二 技术岗位拟签培训和竞业条款</w:t>
      </w:r>
    </w:p>
    <w:p>
      <w:r>
        <w:rPr>
          <w:color w:val="71847D"/>
        </w:rPr>
        <w:t>第 1 版  |  生成时间：2026-10-08 01:32</w:t>
      </w:r>
    </w:p>
    <w:p>
      <w:r>
        <w:rPr>
          <w:color w:val="71847D"/>
        </w:rPr>
        <w:t>本报告依据已提供材料进行风险提示；风险等级不是违法认定或风险概率。</w:t>
      </w:r>
    </w:p>
    <w:p>
      <w:pPr>
        <w:pStyle w:val="Heading1"/>
      </w:pPr>
      <w:r>
        <w:t>01  结论与风险概览</w:t>
      </w:r>
    </w:p>
    <w:p>
      <w:pPr>
        <w:shd w:fill="EDF6F1"/>
      </w:pPr>
      <w:r>
        <w:t>这是签约前自查：材料显示为一份带专项技术培训服务期和竞业限制条款的拟签合同。整体上没有观察到押金、扣证、个人贷款或付费培训等典型招聘陷阱信号，试用期期限和试用期工资比例本身也落在合法区间。签约前最需要处理的是两处具体异常：一是服务期条款把违约金写成无论已服务多久一律50000元并从工资直接扣除，二是竞业限制把范围写为离职后36个月全国所有互联网、软件及培训机构。前者涉及服务期违约金的法定上限和分摊规则，后者涉及竞业期限的法定上限和是否真的接触商业秘密。建议在签署前就这两条书面协商修改，并把所有条款落到书面合同后逐条比对再决定。</w:t>
      </w:r>
    </w:p>
    <w:p>
      <w:pPr>
        <w:pStyle w:val="Heading2"/>
      </w:pPr>
      <w:r>
        <w:t>签约与入职前，建议先做</w:t>
      </w:r>
    </w:p>
    <w:p>
      <w:r>
        <w:t>签约前先书面协商修改两处条款，再决定是否签署</w:t>
      </w:r>
    </w:p>
    <w:p>
      <w:pPr>
        <w:pStyle w:val="ListBullet"/>
      </w:pPr>
      <w:r>
        <w:t>暂不签署，先取得完整合同文本（含全部附件和统一模板条款），逐条通读后再决定。</w:t>
      </w:r>
    </w:p>
    <w:p>
      <w:pPr>
        <w:pStyle w:val="ListBullet"/>
      </w:pPr>
      <w:r>
        <w:t>书面要求修改服务期违约金：改为不超过实际发生的专项培训费用并按未履行服务期比例分摊，写明费用凭证明细与核对规则、分摊公式，并删除从工资直接扣除的表述。</w:t>
      </w:r>
    </w:p>
    <w:p>
      <w:pPr>
        <w:pStyle w:val="ListBullet"/>
      </w:pPr>
      <w:r>
        <w:t>书面要求修改竞业限制：期限不超过二年，范围收窄到确有竞争关系且与岗位相关的业务，并要求说明岗位是否实际接触商业秘密。</w:t>
      </w:r>
    </w:p>
    <w:p>
      <w:pPr>
        <w:pStyle w:val="ListBullet"/>
      </w:pPr>
      <w:r>
        <w:t>要求公司书面确认工资构成、发放时间、工作内容与地点、社保缴纳等合同必备事项。</w:t>
      </w:r>
    </w:p>
    <w:p>
      <w:pPr>
        <w:pStyle w:val="ListBullet"/>
      </w:pPr>
      <w:r>
        <w:t>核对公司所在地最低工资标准，确认试用期5600元不低于当地标准。</w:t>
      </w:r>
    </w:p>
    <w:p>
      <w:pPr>
        <w:pStyle w:val="ListBullet"/>
      </w:pPr>
      <w:r>
        <w:t>保留所有书面沟通记录；如公司对上述两处条款拒绝任何协商，可作为判断该offer风险的重要参考。培训实际发生后再以机构课程方案、合同、付款凭证和费用明细逐项核对费用与分摊。</w:t>
      </w:r>
    </w:p>
    <w:p>
      <w:r>
        <w:rPr>
          <w:color w:val="71847D"/>
        </w:rPr>
        <w:t>本报告仅基于你提供的模拟材料作签约前风险提示，不预测诉讼结果，也不构成对公司资质或条款效力的确认。若条款已按建议修改，仍建议留存修改后的书面文本。</w:t>
      </w:r>
    </w:p>
    <w:p>
      <w:r>
        <w:rPr>
          <w:b/>
        </w:rPr>
        <w:t xml:space="preserve">概览依据：  </w:t>
      </w:r>
      <w:r>
        <w:rPr>
          <w:color w:val="71847D"/>
        </w:rPr>
        <w:t>LCL-022、LCL-025、LCL-023、LCL-024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服务期违约金一律50000元且直接从离职当月工资扣除</w:t>
            </w:r>
          </w:p>
        </w:tc>
        <w:tc>
          <w:tcPr>
            <w:tcW w:type="dxa" w:w="5443"/>
          </w:tcPr>
          <w:p>
            <w:pPr>
              <w:spacing w:line="288" w:lineRule="auto" w:after="140" w:before="140"/>
            </w:pPr>
            <w:r>
              <w:rPr>
                <w:sz w:val="19"/>
              </w:rPr>
              <w:t>签约前书面要求把违约金条款改为：不超过公司实际支付的专项培训费用，并按服务期未履行部分比例分摊，并写明费用明细、费用凭证的提供与核对规则及分摊公式。</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竞业限制期限36个月且全国全行业适用，与岗位是否接触商业秘密不匹配</w:t>
            </w:r>
          </w:p>
        </w:tc>
        <w:tc>
          <w:tcPr>
            <w:tcW w:type="dxa" w:w="5443"/>
          </w:tcPr>
          <w:p>
            <w:pPr>
              <w:spacing w:line="288" w:lineRule="auto" w:after="140" w:before="140"/>
            </w:pPr>
            <w:r>
              <w:rPr>
                <w:sz w:val="19"/>
              </w:rPr>
              <w:t>签约前书面要求把竞业限制期限改为不超过二年，并把范围、地域收窄到确有竞争关系且与原岗位相关的业务。</w:t>
            </w:r>
          </w:p>
        </w:tc>
      </w:tr>
    </w:tbl>
    <w:p>
      <w:r>
        <w:rPr>
          <w:b/>
        </w:rPr>
        <w:t xml:space="preserve">本版修改  </w:t>
      </w:r>
      <w:r>
        <w:t>根据审核意见修正服务期违约金风险点中关于费用凭证的建议：签约前只要求把费用凭证提供与核对规则、分摊公式写入条款，实际费用凭证待培训发生后核对，避免与培训尚未发生、不能把预计费用当作已支出的事实相矛盾。</w:t>
      </w:r>
    </w:p>
    <w:p>
      <w:pPr>
        <w:pStyle w:val="Heading1"/>
      </w:pPr>
      <w:r>
        <w:t>02  风险详情</w:t>
      </w:r>
    </w:p>
    <w:p>
      <w:pPr>
        <w:pStyle w:val="Heading2"/>
        <w:keepNext/>
      </w:pPr>
      <w:r>
        <w:rPr>
          <w:color w:val="B85646"/>
        </w:rPr>
        <w:t>01  服务期违约金一律50000元且直接从离职当月工资扣除  ·  高风险</w:t>
      </w:r>
    </w:p>
    <w:p>
      <w:pPr>
        <w:keepNext/>
        <w:shd w:fill="F3F6F5"/>
      </w:pPr>
      <w:r>
        <w:rPr>
          <w:b/>
        </w:rPr>
        <w:t xml:space="preserve">材料原文  </w:t>
      </w:r>
      <w:r>
        <w:t>若在服务期内主动离职，协议要求无论已服务多久一律向公司支付50000元违约金，可直接从离职当月工资扣除。</w:t>
      </w:r>
    </w:p>
    <w:p>
      <w:pPr>
        <w:keepNext/>
      </w:pPr>
      <w:r>
        <w:rPr>
          <w:b/>
        </w:rPr>
        <w:t xml:space="preserve">原文位置  </w:t>
      </w:r>
      <w:r>
        <w:rPr>
          <w:color w:val="71847D"/>
        </w:rPr>
        <w:t>输入文字.txt · 第1页</w:t>
      </w:r>
    </w:p>
    <w:p>
      <w:pPr>
        <w:keepNext/>
      </w:pPr>
      <w:r>
        <w:rPr>
          <w:b/>
        </w:rPr>
        <w:t xml:space="preserve">风险说明  </w:t>
      </w:r>
      <w:r>
        <w:t>材料为拟签合同，培训尚未发生、费用尚未实际支出，公司计划出资30000元用于第三方专项技术课程，服务期24个月。协议却约定：只要在服务期内主动离职，无论已服务多久一律支付50000元违约金，并可直接从离职当月工资扣除。这里有两个独立问题。第一，金额与分摊：专项技术培训服务期违约金的上限是用人单位实际提供的培训费用，且不得超过服务期尚未履行部分应分摊的培训费用。按预计费用30000元、服务期24个月计算，即使费用日后实际发生，也只能按未履行月份分摊，越接近服务期满，可主张的违约金应越低，而不是固定50000元；50000元本身已高于预计费用30000元。这些都取决于费用是否真实发生、金额能否以凭证核实、培训是否属于专项技术培训、以及离职时实际已履行多久，具体数额不宜预先断言。第二，从工资直接扣除：工资属于劳动报酬，未经依法程序或劳动者同意，用人单位不宜单方以扣减工资方式实现违约金。本条只涉及服务期违约金条款本身的效力和计算，实际扣薪尚未发生。注意：公司出资的专项技术培训本身是合法且常见的安排，出问题的不是培训，而是违约金的计算方式和扣款方式。</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签约前书面要求把违约金条款改为：不超过公司实际支付的专项培训费用，并按服务期未履行部分比例分摊，并写明费用明细、费用凭证的提供与核对规则及分摊公式。</w:t>
      </w:r>
    </w:p>
    <w:p>
      <w:pPr>
        <w:pStyle w:val="ListBullet"/>
        <w:keepNext/>
      </w:pPr>
      <w:r>
        <w:t>明确写入不得直接从工资中扣除违约金、不得以扣发工资作为履约担保；如公司坚持固定50000元，可要求先把违约金计算方式与分摊公式写入条款，而不是现在就提供尚未发生的费用凭证。</w:t>
      </w:r>
    </w:p>
    <w:p>
      <w:pPr>
        <w:pStyle w:val="ListBullet"/>
        <w:keepNext/>
      </w:pPr>
      <w:r>
        <w:t>书面确认培训是否属于专项技术培训、由哪家机构实施、公司计划支付的金额；待培训实际发生后，再凭机构课程方案、合同、付款凭证和费用明细逐项核对，现在不要求提供尚不存在的凭证。</w:t>
      </w:r>
    </w:p>
    <w:p>
      <w:pPr>
        <w:pStyle w:val="ListBullet"/>
        <w:keepNext w:val="0"/>
      </w:pPr>
      <w:r>
        <w:t>保留要求修改条款的书面沟通记录，作为协商过程的证据。</w:t>
      </w:r>
    </w:p>
    <w:p>
      <w:pPr>
        <w:pStyle w:val="Heading2"/>
        <w:keepNext/>
      </w:pPr>
      <w:r>
        <w:rPr>
          <w:color w:val="B85646"/>
        </w:rPr>
        <w:t>02  竞业限制期限36个月且全国全行业适用，与岗位是否接触商业秘密不匹配  ·  高风险</w:t>
      </w:r>
    </w:p>
    <w:p>
      <w:pPr>
        <w:keepNext/>
        <w:shd w:fill="F3F6F5"/>
      </w:pPr>
      <w:r>
        <w:rPr>
          <w:b/>
        </w:rPr>
        <w:t xml:space="preserve">材料原文  </w:t>
      </w:r>
      <w:r>
        <w:t>附件统一要求离职后36个月不得在全国任何互联网公司、软件公司或培训机构任职，公司离职后按月支付1000元竞业补偿；违反约定须付100000元违约金。</w:t>
      </w:r>
    </w:p>
    <w:p>
      <w:pPr>
        <w:keepNext/>
      </w:pPr>
      <w:r>
        <w:rPr>
          <w:b/>
        </w:rPr>
        <w:t xml:space="preserve">原文位置  </w:t>
      </w:r>
      <w:r>
        <w:rPr>
          <w:color w:val="71847D"/>
        </w:rPr>
        <w:t>输入文字.txt · 第1页</w:t>
      </w:r>
    </w:p>
    <w:p>
      <w:pPr>
        <w:keepNext/>
      </w:pPr>
      <w:r>
        <w:rPr>
          <w:b/>
        </w:rPr>
        <w:t xml:space="preserve">风险说明  </w:t>
      </w:r>
      <w:r>
        <w:t>拟签附件统一要求所有技术岗离职后36个月内不得在全国任何互联网公司、软件公司或培训机构任职，公司按月支付1000元竞业补偿，违反须付100000元违约金。而岗位实际是公开产品的常规测试，是否会接触商业秘密尚未明确。两个问题：第一，期限。竞业限制期限在解除或终止劳动合同后不得超过二年，36个月超出法定上限，超出部分的约定难以获得支持，具体处理需结合个案。第二，适用对象与范围。竞业限制人员限于高级管理人员、高级技术人员和其他负有保密义务的人员，限制的是到有竞争关系的同类业务单位任职。若岗位并不接触商业秘密，仅凭岗位名称和统一模板，把范围扩张到全国所有互联网、软件及培训行业，与竞业限制的制度目的不符；补偿1000元与100000元违约金之间的比例是否合理，也要结合地域、原工资和实际损失综合判断，不宜预先下结论。材料已明确岗位名称本身不能证明接触秘密，这一点在签约前务必以书面岗位职责和实际工作内容核实。本条针对的是竞业限制条款，与上面服务期培训费是两件不同的事，不重复计算。</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color w:val="287B65"/>
        </w:rPr>
        <w:t>建议行动</w:t>
      </w:r>
    </w:p>
    <w:p>
      <w:pPr>
        <w:pStyle w:val="ListBullet"/>
        <w:keepNext/>
      </w:pPr>
      <w:r>
        <w:t>签约前书面要求把竞业限制期限改为不超过二年，并把范围、地域收窄到确有竞争关系且与原岗位相关的业务。</w:t>
      </w:r>
    </w:p>
    <w:p>
      <w:pPr>
        <w:pStyle w:val="ListBullet"/>
        <w:keepNext/>
      </w:pPr>
      <w:r>
        <w:t>要求公司书面说明该岗位实际会接触哪些商业秘密或保密信息；若确无接触，可要求不适用竞业限制或明确仅在有秘密接触的岗位适用。</w:t>
      </w:r>
    </w:p>
    <w:p>
      <w:pPr>
        <w:pStyle w:val="ListBullet"/>
        <w:keepNext/>
      </w:pPr>
      <w:r>
        <w:t>核对竞业补偿的支付方式、金额和发放时间，并写明未按月支付补偿时的处理办法。</w:t>
      </w:r>
    </w:p>
    <w:p>
      <w:pPr>
        <w:pStyle w:val="ListBullet"/>
        <w:keepNext w:val="0"/>
      </w:pPr>
      <w:r>
        <w:t>对100000元违约金和1000元补偿的比例，要求公司说明计算依据，保留沟通记录。</w:t>
      </w:r>
    </w:p>
    <w:p>
      <w:pPr>
        <w:pStyle w:val="Heading1"/>
      </w:pPr>
      <w:r>
        <w:t>03  待核实事项与分析局限</w:t>
      </w:r>
    </w:p>
    <w:p>
      <w:pPr>
        <w:pStyle w:val="ListBullet"/>
      </w:pPr>
      <w:r>
        <w:t>两份材料对核心风险已给出明确条款，可支撑上述判断；但材料未披露公司名称、注册地、拟签合同的完整文本，无法核对合同其他条款。</w:t>
      </w:r>
    </w:p>
    <w:p>
      <w:pPr>
        <w:pStyle w:val="ListBullet"/>
      </w:pPr>
      <w:r>
        <w:t>用人单位所在地最低工资标准未提供，无法判断试用期工资5600元是否同时满足当地最低工资要求，建议自行核对公司所在地标准。</w:t>
      </w:r>
    </w:p>
    <w:p>
      <w:pPr>
        <w:pStyle w:val="ListBullet"/>
      </w:pPr>
      <w:r>
        <w:t>公司是否真实存在、岗位是否真实、培训是否实际发生，均未核验，本报告不构成对公司资质的确认。</w:t>
      </w:r>
    </w:p>
    <w:p>
      <w:pPr>
        <w:pStyle w:val="ListBullet"/>
      </w:pPr>
      <w:r>
        <w:t>试用期6个月对应的合同期限为3年，符合三年以上固定期限合同试用期不超过六个月的规定，本材料未构成试用期超期问题；同一单位是否重复约定试用期材料未披露。</w:t>
      </w:r>
    </w:p>
    <w:p>
      <w:pPr>
        <w:pStyle w:val="ListBullet"/>
      </w:pPr>
      <w:r>
        <w:t>培训费用30000元为预计数，尚未实际发生，也无付款凭证，无法核对违约金是否实际超过培训费用；需在培训实际发生后以机构合同和付款凭证据复核。</w:t>
      </w:r>
    </w:p>
    <w:p>
      <w:pPr>
        <w:pStyle w:val="ListBullet"/>
      </w:pPr>
      <w:r>
        <w:t>竞业限制是否最终有效，取决于岗位是否确实接触商业秘密、限制范围是否与竞争业务相关等事实，材料未明确，无法预先判断。</w:t>
      </w:r>
    </w:p>
    <w:p>
      <w:pPr>
        <w:pStyle w:val="ListBullet"/>
      </w:pPr>
      <w:r>
        <w:t>材料未涉及是否存在其他工资、社保、解除等条款，报告中未列入相关分析。</w:t>
      </w:r>
    </w:p>
    <w:p>
      <w:pPr>
        <w:pStyle w:val="Heading2"/>
      </w:pPr>
      <w:r>
        <w:t>关联自查清单</w:t>
      </w:r>
    </w:p>
    <w:p>
      <w:r>
        <w:rPr>
          <w:color w:val="71847D"/>
        </w:rPr>
        <w:t>可在当前会话补充这些信息，必要时再修订报告；未确认的情形不计为新增风险。</w:t>
      </w:r>
    </w:p>
    <w:p>
      <w:pPr>
        <w:pStyle w:val="ListBullet"/>
      </w:pPr>
      <w:r>
        <w:t>公司全称、注册地及所在地最低工资标准是什么？</w:t>
      </w:r>
    </w:p>
    <w:p>
      <w:pPr>
        <w:pStyle w:val="ListBullet"/>
      </w:pPr>
      <w:r>
        <w:t>完整的劳动合同附件（含竞业限制和服务期条款原文）能否提供，以便核对是否还有其他异常条款？</w:t>
      </w:r>
    </w:p>
    <w:p>
      <w:pPr>
        <w:pStyle w:val="Heading1"/>
      </w:pPr>
      <w:r>
        <w:t>04  依据与来源</w:t>
      </w:r>
    </w:p>
    <w:p>
      <w:r>
        <w:rPr>
          <w:color w:val="71847D"/>
        </w:rPr>
        <w:t>法条、风险提示、指南及案例分别标注；案例结论只用于个案参考。</w:t>
      </w:r>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https://rsj.sh.gov.cn/tgwyxzfgwj_17255/20200617/t0035_1388240.html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sh.gov.cn/tgwyxzfgwj_17255/20200617/t0035_1388240.html" TargetMode="External"/><Relationship Id="rId15"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