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江苏假外包真派遣</w:t>
      </w:r>
    </w:p>
    <w:p>
      <w:r>
        <w:rPr>
          <w:color w:val="71847D"/>
        </w:rPr>
        <w:t>第 1 版  |  生成时间：2026-10-06 00:27</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外包”名义与纺织公司直接管理矛盾，存在被认定为假外包真派遣的风险；用人单位主体不清、劳动合同归属不明可能影响工资社保与救济路径；培训由实际用工方组织，需关注是否出现收费培训或变相收费。相关判断须核对适用条件，不构成违法认定。</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“外包”名义与纺织公司直接管理矛盾，存在被认定为假外包真派遣的风险</w:t>
            </w:r>
          </w:p>
        </w:tc>
        <w:tc>
          <w:tcPr>
            <w:tcW w:type="dxa" w:w="5443"/>
          </w:tcPr>
          <w:p>
            <w:pPr>
              <w:spacing w:line="288" w:lineRule="auto" w:after="140" w:before="140"/>
            </w:pPr>
            <w:r>
              <w:rPr>
                <w:sz w:val="19"/>
              </w:rPr>
              <w:t>要求书面明确：谁是劳动合同用人单位、谁是实际用工单位、管理指挥由谁负责，避免口头约定与合同名称不一致。</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用人单位主体不清、劳动合同归属不明可能影响工资社保与救济路径</w:t>
            </w:r>
          </w:p>
        </w:tc>
        <w:tc>
          <w:tcPr>
            <w:tcW w:type="dxa" w:w="5443"/>
          </w:tcPr>
          <w:p>
            <w:pPr>
              <w:spacing w:line="288" w:lineRule="auto" w:after="140" w:before="140"/>
            </w:pPr>
            <w:r>
              <w:rPr>
                <w:sz w:val="19"/>
              </w:rPr>
              <w:t>入职时索要并留存书面劳动合同，核对用人单位名称、合同期限、工作内容、工作地点、报酬、社保等必备条款是否完整。</w:t>
            </w:r>
          </w:p>
        </w:tc>
      </w:tr>
      <w:tr>
        <w:trPr>
          <w:cantSplit/>
        </w:trPr>
        <w:tc>
          <w:tcPr>
            <w:tcW w:type="dxa" w:w="1247"/>
          </w:tcPr>
          <w:p>
            <w:pPr>
              <w:spacing w:line="288" w:lineRule="auto" w:after="140" w:before="140"/>
            </w:pPr>
            <w:r>
              <w:rPr>
                <w:color w:val="69798B"/>
                <w:sz w:val="19"/>
              </w:rPr>
              <w:t>待核实</w:t>
            </w:r>
          </w:p>
        </w:tc>
        <w:tc>
          <w:tcPr>
            <w:tcW w:type="dxa" w:w="2948"/>
          </w:tcPr>
          <w:p>
            <w:pPr>
              <w:spacing w:line="288" w:lineRule="auto" w:after="140" w:before="140"/>
            </w:pPr>
            <w:r>
              <w:rPr>
                <w:sz w:val="19"/>
              </w:rPr>
              <w:t>培训由实际用工方组织，需关注是否出现收费培训或变相收费</w:t>
            </w:r>
          </w:p>
        </w:tc>
        <w:tc>
          <w:tcPr>
            <w:tcW w:type="dxa" w:w="5443"/>
          </w:tcPr>
          <w:p>
            <w:pPr>
              <w:spacing w:line="288" w:lineRule="auto" w:after="140" w:before="140"/>
            </w:pPr>
            <w:r>
              <w:rPr>
                <w:sz w:val="19"/>
              </w:rPr>
              <w:t>保留培训通知、协议文本、缴费凭证及沟通记录，作为日后维权的潜在证据类别。</w:t>
            </w:r>
          </w:p>
        </w:tc>
      </w:tr>
    </w:tbl>
    <w:p>
      <w:pPr>
        <w:pStyle w:val="Heading1"/>
      </w:pPr>
      <w:r>
        <w:t>02  风险详情</w:t>
      </w:r>
    </w:p>
    <w:p>
      <w:pPr>
        <w:pStyle w:val="Heading2"/>
        <w:keepNext/>
      </w:pPr>
      <w:r>
        <w:rPr>
          <w:color w:val="B85646"/>
        </w:rPr>
        <w:t>01  “外包”名义与纺织公司直接管理矛盾，存在被认定为假外包真派遣的风险  ·  高风险</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认定是否属于劳务派遣，关键看用工管理权与劳动过程由谁控制，而非合同名称。文本显示：厂房、机器、原材料由纺织公司提供，纺织公司负责新员工岗前培训并直接核验工作成果与质量；现场管理人员为纺织公司原职工，管理流程、岗位内容与其在纺织公司工作期间完全一致。这些事实指向劳动过程的组织、指挥与成果验收均在纺织公司，企业管理咨询公司仅按月收费后为“外包员工”发薪缴保，属于典型的“假外包真派遣”信号。依《劳务派遣暂行规定》第二十七条，用人单位以承揽、外包等名义，按劳务派遣用工形式使用劳动者的，按照本规定处理；若实为派遣，则受《劳动合同法》第六十六条岗位范围与用工比例约束，并须核查派遣单位是否具备许可。本项为风险信号，不等于已被认定违法，最终取决于合同约定、实际管理证据及当地裁审口径。相关辅助资料SUP-R018仅为核查方向提示，不单独构成定性依据。</w:t>
      </w:r>
    </w:p>
    <w:p>
      <w:pPr>
        <w:keepNext/>
      </w:pPr>
      <w:r>
        <w:rPr>
          <w:b/>
        </w:rPr>
        <w:t xml:space="preserve">分析依据  </w:t>
      </w:r>
      <w:r>
        <w:t>SUP-L-dispatch · 劳务派遣暂行规定 · 第二十七条</w:t>
      </w:r>
    </w:p>
    <w:p>
      <w:pPr>
        <w:keepNext/>
      </w:pPr>
      <w:r>
        <w:rPr>
          <w:b/>
        </w:rPr>
        <w:t xml:space="preserve">分析依据  </w:t>
      </w:r>
      <w:r>
        <w:t>SUP-R018 · 外包与劳务派遣 · 风险判定辅助</w:t>
      </w:r>
    </w:p>
    <w:p>
      <w:pPr>
        <w:keepNext/>
      </w:pPr>
      <w:r>
        <w:rPr>
          <w:b/>
        </w:rPr>
        <w:t xml:space="preserve">分析依据  </w:t>
      </w:r>
      <w:r>
        <w:t>LCL-066 · 中华人民共和国劳动合同法 · 第六十六条</w:t>
      </w:r>
    </w:p>
    <w:p>
      <w:pPr>
        <w:keepNext/>
      </w:pPr>
      <w:r>
        <w:rPr>
          <w:b/>
        </w:rPr>
        <w:t xml:space="preserve">分析依据  </w:t>
      </w:r>
      <w:r>
        <w:t>LCL-058 · 中华人民共和国劳动合同法 · 第五十八条</w:t>
      </w:r>
    </w:p>
    <w:p>
      <w:pPr>
        <w:keepNext/>
      </w:pPr>
      <w:r>
        <w:rPr>
          <w:color w:val="287B65"/>
        </w:rPr>
        <w:t>建议行动</w:t>
      </w:r>
    </w:p>
    <w:p>
      <w:pPr>
        <w:pStyle w:val="ListBullet"/>
        <w:keepNext/>
      </w:pPr>
      <w:r>
        <w:t>要求书面明确：谁是劳动合同用人单位、谁是实际用工单位、管理指挥由谁负责，避免口头约定与合同名称不一致。</w:t>
      </w:r>
    </w:p>
    <w:p>
      <w:pPr>
        <w:pStyle w:val="ListBullet"/>
        <w:keepNext/>
      </w:pPr>
      <w:r>
        <w:t>保存能反映实际管理关系的材料：排班/考勤记录、工作指令来源、岗位说明书、培训签到、成果验收单据。</w:t>
      </w:r>
    </w:p>
    <w:p>
      <w:pPr>
        <w:pStyle w:val="ListBullet"/>
        <w:keepNext/>
      </w:pPr>
      <w:r>
        <w:t>入职前向企业管理咨询公司询问其是否具备劳务派遣经营许可，并可对照当地人社部门许可公示信息核对（不要仅凭对方口头承诺）。</w:t>
      </w:r>
    </w:p>
    <w:p>
      <w:pPr>
        <w:pStyle w:val="ListBullet"/>
        <w:keepNext w:val="0"/>
      </w:pPr>
      <w:r>
        <w:t>如已被要求以“外包人员”身份入职却实际接受纺织公司管理，可就劳动关系主体、工资社保缴纳主体与转正条件提出书面确认。</w:t>
      </w:r>
    </w:p>
    <w:p>
      <w:pPr>
        <w:pStyle w:val="Heading2"/>
        <w:keepNext/>
      </w:pPr>
      <w:r>
        <w:rPr>
          <w:color w:val="B78224"/>
        </w:rPr>
        <w:t>02  用人单位主体不清、劳动合同归属不明可能影响工资社保与救济路径  ·  需关注</w:t>
      </w:r>
    </w:p>
    <w:p>
      <w:pPr>
        <w:keepNext/>
        <w:shd w:fill="F3F6F5"/>
      </w:pPr>
      <w:r>
        <w:rPr>
          <w:b/>
        </w:rPr>
        <w:t xml:space="preserve">材料原文  </w:t>
      </w:r>
      <w:r>
        <w:t>企业管理咨询公司收到纺织公司每月支付的费用后，为所谓外包员工支付工资、缴纳社保费。</w:t>
      </w:r>
    </w:p>
    <w:p>
      <w:pPr>
        <w:keepNext/>
      </w:pPr>
      <w:r>
        <w:rPr>
          <w:b/>
        </w:rPr>
        <w:t xml:space="preserve">原文位置  </w:t>
      </w:r>
      <w:r>
        <w:rPr>
          <w:color w:val="71847D"/>
        </w:rPr>
        <w:t>公开案例事实摘录 · 第1页</w:t>
      </w:r>
    </w:p>
    <w:p>
      <w:pPr>
        <w:keepNext/>
      </w:pPr>
      <w:r>
        <w:rPr>
          <w:b/>
        </w:rPr>
        <w:t xml:space="preserve">风险说明  </w:t>
      </w:r>
      <w:r>
        <w:t>文本显示“企业管理咨询公司收到纺织公司每月支付的费用后，为所谓外包员工支付工资、缴纳社保费”，即发薪缴保由企业管理咨询公司进行，但实际管理在纺织公司。若被认定为劳务派遣，依《劳动合同法》第五十八条，劳务派遣单位是用人单位，应履行用人单位义务，并应与劳动者订立二年以上固定期限劳动合同、按月支付报酬；劳动合同还须载明用工单位、派遣期限、工作岗位等事项（结合第十七条必备条款）。若认定为直接用工，则纺织公司可能成为用人单位。主体不清会导致工资追偿、社保补缴、解除争议时难以确定主张对象。需说明：从“代发薪、代缴社保”本身不能推断已订立劳动合同，也不能单独据此认定结算链违法。同类案例中，法院综合业务、场所标识、工作内容及实际管理判断劳动关系（O009，官方核对摘要，非完整判决书，具体个案结果不可直接套用）。</w:t>
      </w:r>
    </w:p>
    <w:p>
      <w:pPr>
        <w:keepNext/>
      </w:pPr>
      <w:r>
        <w:rPr>
          <w:b/>
        </w:rPr>
        <w:t xml:space="preserve">分析依据  </w:t>
      </w:r>
      <w:r>
        <w:t>LCL-058 · 中华人民共和国劳动合同法 · 第五十八条</w:t>
      </w:r>
    </w:p>
    <w:p>
      <w:pPr>
        <w:keepNext/>
      </w:pPr>
      <w:r>
        <w:rPr>
          <w:b/>
        </w:rPr>
        <w:t xml:space="preserve">分析依据  </w:t>
      </w:r>
      <w:r>
        <w:t>LCL-017 · 中华人民共和国劳动合同法 · 第十七条</w:t>
      </w:r>
    </w:p>
    <w:p>
      <w:pPr>
        <w:keepNext/>
      </w:pPr>
      <w:r>
        <w:rPr>
          <w:b/>
        </w:rPr>
        <w:t xml:space="preserve">分析依据  </w:t>
      </w:r>
      <w:r>
        <w:t>O009-facts · 招聘公司与实际办公公司不同，关联企业混同用工 · 案例二 · 基本案情</w:t>
      </w:r>
    </w:p>
    <w:p>
      <w:pPr>
        <w:keepNext/>
      </w:pPr>
      <w:r>
        <w:rPr>
          <w:b/>
        </w:rPr>
        <w:t xml:space="preserve">分析依据  </w:t>
      </w:r>
      <w:r>
        <w:t>O009-reasoning · 招聘公司与实际办公公司不同，关联企业混同用工 · 案例二 · 认定理由</w:t>
      </w:r>
    </w:p>
    <w:p>
      <w:pPr>
        <w:keepNext/>
      </w:pPr>
      <w:r>
        <w:rPr>
          <w:b/>
        </w:rPr>
        <w:t xml:space="preserve">分析依据  </w:t>
      </w:r>
      <w:r>
        <w:t>O009-outcome · 招聘公司与实际办公公司不同，关联企业混同用工 · 案例二 · 处理结果</w:t>
      </w:r>
    </w:p>
    <w:p>
      <w:pPr>
        <w:keepNext/>
      </w:pPr>
      <w:r>
        <w:rPr>
          <w:color w:val="287B65"/>
        </w:rPr>
        <w:t>建议行动</w:t>
      </w:r>
    </w:p>
    <w:p>
      <w:pPr>
        <w:pStyle w:val="ListBullet"/>
        <w:keepNext/>
      </w:pPr>
      <w:r>
        <w:t>入职时索要并留存书面劳动合同，核对用人单位名称、合同期限、工作内容、工作地点、报酬、社保等必备条款是否完整。</w:t>
      </w:r>
    </w:p>
    <w:p>
      <w:pPr>
        <w:pStyle w:val="ListBullet"/>
        <w:keepNext/>
      </w:pPr>
      <w:r>
        <w:t>保留能证明实际用工主体的证据：工牌、办公场所标识、内部通讯工具、业务对接记录、培训与考核记录。</w:t>
      </w:r>
    </w:p>
    <w:p>
      <w:pPr>
        <w:pStyle w:val="ListBullet"/>
        <w:keepNext/>
      </w:pPr>
      <w:r>
        <w:t>确认发薪与缴保主体，定期核对社保缴费记录，出现欠薪或断缴时明确可主张的相对方。</w:t>
      </w:r>
    </w:p>
    <w:p>
      <w:pPr>
        <w:pStyle w:val="ListBullet"/>
        <w:keepNext w:val="0"/>
      </w:pPr>
      <w:r>
        <w:t>发生争议可先与用人单位书面沟通，必要时向当地劳动人事争议仲裁机构申请仲裁，或向人社部门反映。</w:t>
      </w:r>
    </w:p>
    <w:p>
      <w:pPr>
        <w:pStyle w:val="Heading2"/>
        <w:keepNext/>
      </w:pPr>
      <w:r>
        <w:rPr>
          <w:color w:val="69798B"/>
        </w:rPr>
        <w:t>03  培训由实际用工方组织，需关注是否出现收费培训或变相收费  ·  待核实</w:t>
      </w:r>
    </w:p>
    <w:p>
      <w:pPr>
        <w:keepNext/>
        <w:shd w:fill="F3F6F5"/>
      </w:pPr>
      <w:r>
        <w:rPr>
          <w:b/>
        </w:rPr>
        <w:t xml:space="preserve">材料原文  </w:t>
      </w:r>
      <w:r>
        <w:t>厂房、机器、原材料由纺织公司提供，纺织公司负责新员工岗前培训，并直接核验工作成果与质量。</w:t>
      </w:r>
    </w:p>
    <w:p>
      <w:pPr>
        <w:keepNext/>
      </w:pPr>
      <w:r>
        <w:rPr>
          <w:b/>
        </w:rPr>
        <w:t xml:space="preserve">原文位置  </w:t>
      </w:r>
      <w:r>
        <w:rPr>
          <w:color w:val="71847D"/>
        </w:rPr>
        <w:t>公开案例事实摘录 · 第1页</w:t>
      </w:r>
    </w:p>
    <w:p>
      <w:pPr>
        <w:keepNext/>
      </w:pPr>
      <w:r>
        <w:rPr>
          <w:b/>
        </w:rPr>
        <w:t xml:space="preserve">风险说明  </w:t>
      </w:r>
      <w:r>
        <w:t>文本提到“纺织公司负责新员工岗前培训”，材料未说明该培训是否收费、是否与贷款绑定、是否以安排岗位为条件。官方风险提示指出，求职中要求付费参加培训才能安排岗位的，应果断拒绝，并核实机构是否具备依法审批的许可资质、是否存在不合理收费或贷款内容（K005）。这属于需要关注的条件性风险信号，文本没有任何收费事实，故不定性为违规。</w:t>
      </w:r>
    </w:p>
    <w:p>
      <w:pPr>
        <w:keepNext/>
      </w:pPr>
      <w:r>
        <w:rPr>
          <w:b/>
        </w:rPr>
        <w:t xml:space="preserve">分析依据  </w:t>
      </w:r>
      <w:r>
        <w:t>K005 · 五部门警惕招转培、培训贷风险提示 · 风险提示第三项</w:t>
      </w:r>
    </w:p>
    <w:p>
      <w:pPr>
        <w:keepNext/>
      </w:pPr>
      <w:r>
        <w:rPr>
          <w:b/>
        </w:rPr>
        <w:t xml:space="preserve">分析依据  </w:t>
      </w:r>
      <w:r>
        <w:t>K007 · 五部门警惕招转培、培训贷风险提示 · 风险提示第五项</w:t>
      </w:r>
    </w:p>
    <w:p>
      <w:pPr>
        <w:keepNext/>
      </w:pPr>
      <w:r>
        <w:rPr>
          <w:b/>
        </w:rPr>
        <w:t xml:space="preserve">分析依据  </w:t>
      </w:r>
      <w:r>
        <w:t>SUP-R004 · 招聘与培训主体不同 · 风险判定辅助</w:t>
      </w:r>
    </w:p>
    <w:p>
      <w:pPr>
        <w:keepNext/>
      </w:pPr>
      <w:r>
        <w:rPr>
          <w:color w:val="287B65"/>
        </w:rPr>
        <w:t>建议行动</w:t>
      </w:r>
    </w:p>
    <w:p>
      <w:pPr>
        <w:pStyle w:val="ListBullet"/>
        <w:keepNext w:val="0"/>
      </w:pPr>
      <w:r>
        <w:t>保留培训通知、协议文本、缴费凭证及沟通记录，作为日后维权的潜在证据类别。</w:t>
      </w:r>
    </w:p>
    <w:p>
      <w:pPr>
        <w:pStyle w:val="Heading1"/>
      </w:pPr>
      <w:r>
        <w:t>03  待核实事项与分析局限</w:t>
      </w:r>
    </w:p>
    <w:p>
      <w:pPr>
        <w:pStyle w:val="ListBullet"/>
      </w:pPr>
      <w:r>
        <w:t>本报告仅依据用户提供的文本描述分析，无法核实企业管理咨询公司是否取得劳务派遣经营许可、是否具备人力资源服务许可或备案，相关合规性需进一步核查。</w:t>
      </w:r>
    </w:p>
    <w:p>
      <w:pPr>
        <w:pStyle w:val="ListBullet"/>
      </w:pPr>
      <w:r>
        <w:t>无法核实纺织公司实际用工总量、被派遣人数及比例，也无法确认岗位是否属于临时性、辅助性、替代性岗位。</w:t>
      </w:r>
    </w:p>
    <w:p>
      <w:pPr>
        <w:pStyle w:val="ListBullet"/>
      </w:pPr>
      <w:r>
        <w:t>材料未提供书面合作协议、劳动合同、工资发放与社保缴纳记录、考勤与排班记录，实际管理关系的认定仍需以上证据支持。</w:t>
      </w:r>
    </w:p>
    <w:p>
      <w:pPr>
        <w:pStyle w:val="ListBullet"/>
      </w:pPr>
      <w:r>
        <w:t>文本为概括性描述，未指明具体单位、时间、地域及劳动者身份（如是否在校生、实习生），不同身份与地域口径可能影响结论。</w:t>
      </w:r>
    </w:p>
    <w:p>
      <w:pPr>
        <w:pStyle w:val="ListBullet"/>
      </w:pPr>
      <w:r>
        <w:t>本报告中的案例编号O009为官方发布案例的核对摘要，非完整裁判文书，具体个案结果不能直接套用于其他情形。</w:t>
      </w:r>
    </w:p>
    <w:p>
      <w:pPr>
        <w:pStyle w:val="ListBullet"/>
      </w:pPr>
      <w:r>
        <w:t>是否构成假外包真派遣、是否违法，须由人社部门或裁审机构结合全部证据认定，本报告不构成法律意见或违法认定。</w:t>
      </w:r>
    </w:p>
    <w:p>
      <w:pPr>
        <w:pStyle w:val="ListBullet"/>
      </w:pPr>
      <w:r>
        <w:t>未提供岗位性质和派遣人员数量、用工总量，需核实，不认定已违反岗位或比例限制。</w:t>
      </w:r>
    </w:p>
    <w:p>
      <w:pPr>
        <w:pStyle w:val="Heading1"/>
      </w:pPr>
      <w:r>
        <w:t>04  依据与来源</w:t>
      </w:r>
    </w:p>
    <w:p>
      <w:r>
        <w:rPr>
          <w:color w:val="71847D"/>
        </w:rPr>
        <w:t>法条、风险提示、指南及案例分别标注；案例结论只用于个案参考。</w:t>
      </w:r>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K007  五部门警惕招转培、培训贷风险提示</w:t>
      </w:r>
    </w:p>
    <w:p>
      <w:pPr>
        <w:keepNext/>
        <w:spacing w:line="288" w:lineRule="auto" w:after="80"/>
      </w:pPr>
      <w:r>
        <w:rPr>
          <w:color w:val="71847D"/>
          <w:sz w:val="19"/>
        </w:rPr>
        <w:t>办事与证据指南 · 风险提示第五项</w:t>
      </w:r>
    </w:p>
    <w:p>
      <w:pPr>
        <w:keepNext/>
        <w:spacing w:line="288" w:lineRule="auto" w:after="80"/>
      </w:pPr>
      <w:r>
        <w:rPr>
          <w:sz w:val="19"/>
        </w:rPr>
        <w:t>求职者要注意保留相关聊天记录、协议文本和转账凭证等，为可能的纠纷留存证据。如果落入骗局，请向人力资源社会保障部门投诉举报，或向公安机关报案。</w:t>
      </w:r>
    </w:p>
    <w:p>
      <w:pPr>
        <w:keepNext/>
        <w:spacing w:line="288" w:lineRule="auto" w:after="80"/>
      </w:pPr>
      <w:r>
        <w:rPr>
          <w:b/>
          <w:sz w:val="19"/>
        </w:rPr>
        <w:t xml:space="preserve">适用边界  </w:t>
      </w:r>
      <w:r>
        <w:rPr>
          <w:sz w:val="19"/>
        </w:rPr>
        <w:t>是否存在骗局或适用具体程序仍要核实；不自动替用户投诉或报案。</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LCL-058  中华人民共和国劳动合同法</w:t>
      </w:r>
    </w:p>
    <w:p>
      <w:pPr>
        <w:keepNext/>
        <w:spacing w:line="288" w:lineRule="auto" w:after="80"/>
      </w:pPr>
      <w:r>
        <w:rPr>
          <w:color w:val="71847D"/>
          <w:sz w:val="19"/>
        </w:rPr>
        <w:t>法律条文 · 第五十八条</w:t>
      </w:r>
    </w:p>
    <w:p>
      <w:pPr>
        <w:keepNext/>
        <w:spacing w:line="288" w:lineRule="auto" w:after="80"/>
      </w:pPr>
      <w:r>
        <w:rPr>
          <w:sz w:val="19"/>
        </w:rPr>
        <w:t>第五十八条　劳务派遣单位是本法所称用人单位，应当履行用人单位对劳动者的义务。劳务派遣单位与被派遣劳动者订立的劳动合同，除应当载明本法第十七条规定的事项外，还应当载明被派遣劳动者的用工单位以及派遣期限、工作岗位等情况。</w:t>
      </w:r>
      <w:r>
        <w:rPr>
          <w:sz w:val="19"/>
        </w:rPr>
        <w:br/>
      </w:r>
      <w:r>
        <w:rPr>
          <w:sz w:val="19"/>
        </w:rPr>
        <w:t>劳务派遣单位应当与被派遣劳动者订立二年以上的固定期限劳动合同，按月支付劳动报酬；被派遣劳动者在无工作期间，劳务派遣单位应当按照所在地人民政府规定的最低工资标准，向其按月支付报酬。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LCL-066  中华人民共和国劳动合同法</w:t>
      </w:r>
    </w:p>
    <w:p>
      <w:pPr>
        <w:keepNext/>
        <w:spacing w:line="288" w:lineRule="auto" w:after="80"/>
      </w:pPr>
      <w:r>
        <w:rPr>
          <w:color w:val="71847D"/>
          <w:sz w:val="19"/>
        </w:rPr>
        <w:t>法律条文 · 第六十六条</w:t>
      </w:r>
    </w:p>
    <w:p>
      <w:pPr>
        <w:keepNext/>
        <w:spacing w:line="288" w:lineRule="auto" w:after="80"/>
      </w:pPr>
      <w:r>
        <w:rPr>
          <w:sz w:val="19"/>
        </w:rPr>
        <w:t>第六十六条　劳动合同用工是我国的企业基本用工形式。劳务派遣用工是补充形式，只能在临时性、辅助性或者替代性的工作岗位上实施。</w:t>
      </w:r>
      <w:r>
        <w:rPr>
          <w:sz w:val="19"/>
        </w:rPr>
        <w:br/>
      </w:r>
      <w:r>
        <w:rPr>
          <w:sz w:val="19"/>
        </w:rPr>
        <w:t>前款规定的临时性工作岗位是指存续时间不超过六个月的岗位；辅助性工作岗位是指为主营业务岗位提供服务的非主营业务岗位；替代性工作岗位是指用工单位的劳动者因脱产学习、休假等原因无法工作的一定期间内，可以由其他劳动者替代工作的岗位。</w:t>
      </w:r>
      <w:r>
        <w:rPr>
          <w:sz w:val="19"/>
        </w:rPr>
        <w:br/>
      </w:r>
      <w:r>
        <w:rPr>
          <w:sz w:val="19"/>
        </w:rPr>
        <w:t>用工单位应当严格控制劳务派遣用工数量，不得超过其用工总量的一定比例，具体比例由国务院劳动行政部门规定。</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3">
        <w:r>
          <w:rPr>
            <w:color w:val="287B65"/>
          </w:rPr>
          <w:t>https://www.dhlh.gov.cn/rsj/Web/_F0_0_28D04GIGEN3XZTQZ5FVD0YUCHG.htm</w:t>
        </w:r>
      </w:hyperlink>
    </w:p>
    <w:p>
      <w:pPr>
        <w:pStyle w:val="Heading2"/>
        <w:keepNext/>
      </w:pPr>
      <w:r>
        <w:t>O009-facts  招聘公司与实际办公公司不同，关联企业混同用工</w:t>
      </w:r>
    </w:p>
    <w:p>
      <w:pPr>
        <w:keepNext/>
        <w:spacing w:line="288" w:lineRule="auto" w:after="80"/>
      </w:pPr>
      <w:r>
        <w:rPr>
          <w:color w:val="71847D"/>
          <w:sz w:val="19"/>
        </w:rPr>
        <w:t>案例参考 · 案例二 · 基本案情</w:t>
      </w:r>
    </w:p>
    <w:p>
      <w:pPr>
        <w:keepNext/>
        <w:spacing w:line="288" w:lineRule="auto" w:after="80"/>
      </w:pPr>
      <w:r>
        <w:rPr>
          <w:sz w:val="19"/>
        </w:rPr>
        <w:t>【官方发布案例的核对摘要，非完整裁判文书】求职者通过科技公司入职，但办公场所和工作通讯标识为关联数字公司，两公司未签合同、未参保，工资由共同法定代表人个人账户发放。</w:t>
      </w:r>
    </w:p>
    <w:p>
      <w:pPr>
        <w:keepNext/>
        <w:spacing w:line="288" w:lineRule="auto" w:after="80"/>
      </w:pPr>
      <w:r>
        <w:rPr>
          <w:b/>
          <w:sz w:val="19"/>
        </w:rPr>
        <w:t xml:space="preserve">适用边界  </w:t>
      </w:r>
      <w:r>
        <w:rPr>
          <w:sz w:val="19"/>
        </w:rPr>
        <w:t>须证明关联企业实际混同用工；不能仅因工资从个人账户支付就确定劳动关系，也不能据此推定所有关联公司连带赔偿。</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4">
        <w:r>
          <w:rPr>
            <w:color w:val="287B65"/>
          </w:rPr>
          <w:t>https://www.court.gov.cn/zixun/xiangqing/472681.html</w:t>
        </w:r>
      </w:hyperlink>
    </w:p>
    <w:p>
      <w:pPr>
        <w:pStyle w:val="Heading2"/>
        <w:keepNext/>
      </w:pPr>
      <w:r>
        <w:t>O009-outcome  招聘公司与实际办公公司不同，关联企业混同用工</w:t>
      </w:r>
    </w:p>
    <w:p>
      <w:pPr>
        <w:keepNext/>
        <w:spacing w:line="288" w:lineRule="auto" w:after="80"/>
      </w:pPr>
      <w:r>
        <w:rPr>
          <w:color w:val="71847D"/>
          <w:sz w:val="19"/>
        </w:rPr>
        <w:t>案例参考 · 案例二 · 处理结果</w:t>
      </w:r>
    </w:p>
    <w:p>
      <w:pPr>
        <w:keepNext/>
        <w:spacing w:line="288" w:lineRule="auto" w:after="80"/>
      </w:pPr>
      <w:r>
        <w:rPr>
          <w:sz w:val="19"/>
        </w:rPr>
        <w:t>【官方发布案例的核对摘要，非完整裁判文书】法院支持确认与数字公司存在劳动关系及支付欠发工资等请求。</w:t>
      </w:r>
    </w:p>
    <w:p>
      <w:pPr>
        <w:keepNext/>
        <w:spacing w:line="288" w:lineRule="auto" w:after="80"/>
      </w:pPr>
      <w:r>
        <w:rPr>
          <w:b/>
          <w:sz w:val="19"/>
        </w:rPr>
        <w:t xml:space="preserve">适用边界  </w:t>
      </w:r>
      <w:r>
        <w:rPr>
          <w:sz w:val="19"/>
        </w:rPr>
        <w:t>须证明关联企业实际混同用工；不能仅因工资从个人账户支付就确定劳动关系，也不能据此推定所有关联公司连带赔偿。</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4">
        <w:r>
          <w:rPr>
            <w:color w:val="287B65"/>
          </w:rPr>
          <w:t>https://www.court.gov.cn/zixun/xiangqing/472681.html</w:t>
        </w:r>
      </w:hyperlink>
    </w:p>
    <w:p>
      <w:pPr>
        <w:pStyle w:val="Heading2"/>
        <w:keepNext/>
      </w:pPr>
      <w:r>
        <w:t>O009-reasoning  招聘公司与实际办公公司不同，关联企业混同用工</w:t>
      </w:r>
    </w:p>
    <w:p>
      <w:pPr>
        <w:keepNext/>
        <w:spacing w:line="288" w:lineRule="auto" w:after="80"/>
      </w:pPr>
      <w:r>
        <w:rPr>
          <w:color w:val="71847D"/>
          <w:sz w:val="19"/>
        </w:rPr>
        <w:t>案例参考 · 案例二 · 认定理由</w:t>
      </w:r>
    </w:p>
    <w:p>
      <w:pPr>
        <w:keepNext/>
        <w:spacing w:line="288" w:lineRule="auto" w:after="80"/>
      </w:pPr>
      <w:r>
        <w:rPr>
          <w:sz w:val="19"/>
        </w:rPr>
        <w:t>【官方发布案例的核对摘要，非完整裁判文书】法院综合业务、场所标识、工作内容及实际管理判断劳动关系，认可劳动者有理由相信其为数字公司提供劳动。</w:t>
      </w:r>
    </w:p>
    <w:p>
      <w:pPr>
        <w:keepNext/>
        <w:spacing w:line="288" w:lineRule="auto" w:after="80"/>
      </w:pPr>
      <w:r>
        <w:rPr>
          <w:b/>
          <w:sz w:val="19"/>
        </w:rPr>
        <w:t xml:space="preserve">适用边界  </w:t>
      </w:r>
      <w:r>
        <w:rPr>
          <w:sz w:val="19"/>
        </w:rPr>
        <w:t>须证明关联企业实际混同用工；不能仅因工资从个人账户支付就确定劳动关系，也不能据此推定所有关联公司连带赔偿。</w:t>
      </w:r>
    </w:p>
    <w:p>
      <w:pPr>
        <w:keepNext/>
        <w:spacing w:line="288" w:lineRule="auto" w:after="80"/>
      </w:pPr>
      <w:r>
        <w:rPr>
          <w:b/>
          <w:sz w:val="19"/>
        </w:rPr>
        <w:t xml:space="preserve">资料核对日期  </w:t>
      </w:r>
      <w:r>
        <w:rPr>
          <w:color w:val="71847D"/>
          <w:sz w:val="19"/>
        </w:rPr>
        <w:t>2026-10-04</w:t>
      </w:r>
    </w:p>
    <w:p>
      <w:pPr>
        <w:keepNext w:val="0"/>
        <w:spacing w:line="288" w:lineRule="auto" w:after="80"/>
      </w:pPr>
      <w:r>
        <w:rPr>
          <w:b/>
          <w:sz w:val="19"/>
        </w:rPr>
        <w:t xml:space="preserve">来源链接  </w:t>
      </w:r>
      <w:r>
        <w:rPr>
          <w:sz w:val="19"/>
        </w:rPr>
      </w:r>
      <w:hyperlink r:id="rId14">
        <w:r>
          <w:rPr>
            <w:color w:val="287B65"/>
          </w:rPr>
          <w:t>https://www.court.gov.cn/zixun/xiangqing/472681.html</w:t>
        </w:r>
      </w:hyperlink>
    </w:p>
    <w:p>
      <w:pPr>
        <w:pStyle w:val="Heading2"/>
        <w:keepNext/>
      </w:pPr>
      <w:r>
        <w:t>SUP-L-dispatch  劳务派遣暂行规定</w:t>
      </w:r>
    </w:p>
    <w:p>
      <w:pPr>
        <w:keepNext/>
        <w:spacing w:line="288" w:lineRule="auto" w:after="80"/>
      </w:pPr>
      <w:r>
        <w:rPr>
          <w:color w:val="71847D"/>
          <w:sz w:val="19"/>
        </w:rPr>
        <w:t>法律条文 · 第二十七条</w:t>
      </w:r>
    </w:p>
    <w:p>
      <w:pPr>
        <w:keepNext/>
        <w:spacing w:line="288" w:lineRule="auto" w:after="80"/>
      </w:pPr>
      <w:r>
        <w:rPr>
          <w:sz w:val="19"/>
        </w:rPr>
        <w:t>第二十七条 用人单位以承揽、外包等名义，按劳务派遣用工形式使用劳动者的，按照本规定处理。</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https://rsj.sh.gov.cn/trlzyhshbzbgz_17256/20240813/t0035_1427021.html</w:t>
        </w:r>
      </w:hyperlink>
    </w:p>
    <w:p>
      <w:pPr>
        <w:pStyle w:val="Heading2"/>
        <w:keepNext/>
      </w:pPr>
      <w:r>
        <w:t>SUP-R004  招聘与培训主体不同</w:t>
      </w:r>
    </w:p>
    <w:p>
      <w:pPr>
        <w:keepNext/>
        <w:spacing w:line="288" w:lineRule="auto" w:after="80"/>
      </w:pPr>
      <w:r>
        <w:rPr>
          <w:color w:val="71847D"/>
          <w:sz w:val="19"/>
        </w:rPr>
        <w:t>辅助资料（团队整理） · 风险判定辅助</w:t>
      </w:r>
    </w:p>
    <w:p>
      <w:pPr>
        <w:keepNext/>
        <w:spacing w:line="288" w:lineRule="auto" w:after="80"/>
      </w:pPr>
      <w:r>
        <w:rPr>
          <w:sz w:val="19"/>
        </w:rPr>
        <w:t>属于需要关注的组合信号，不能仅因主体不同直接判违法；核对独立培训自愿性、收费、岗位承诺。</w:t>
      </w:r>
      <w:r>
        <w:rPr>
          <w:sz w:val="19"/>
        </w:rPr>
        <w:br/>
      </w:r>
      <w:r>
        <w:rPr>
          <w:sz w:val="19"/>
        </w:rPr>
        <w:t>关联依据编号：K005</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2">
        <w:r>
          <w:rPr>
            <w:color w:val="287B65"/>
          </w:rPr>
          <w:t>https://chinajob.mohrss.gov.cn/c/2026-05-18/543038.shtml</w:t>
        </w:r>
      </w:hyperlink>
    </w:p>
    <w:p>
      <w:pPr>
        <w:pStyle w:val="Heading2"/>
        <w:keepNext/>
      </w:pPr>
      <w:r>
        <w:t>SUP-R018  外包与劳务派遣</w:t>
      </w:r>
    </w:p>
    <w:p>
      <w:pPr>
        <w:keepNext/>
        <w:spacing w:line="288" w:lineRule="auto" w:after="80"/>
      </w:pPr>
      <w:r>
        <w:rPr>
          <w:color w:val="71847D"/>
          <w:sz w:val="19"/>
        </w:rPr>
        <w:t>辅助资料（团队整理） · 风险判定辅助</w:t>
      </w:r>
    </w:p>
    <w:p>
      <w:pPr>
        <w:keepNext/>
        <w:spacing w:line="288" w:lineRule="auto" w:after="80"/>
      </w:pPr>
      <w:r>
        <w:rPr>
          <w:sz w:val="19"/>
        </w:rPr>
        <w:t>A签合同、B管理属于进一步核查信号，也可能是合法派遣。结合合同、实际管理、岗位和许可判断，不只看主体不同。</w:t>
      </w:r>
      <w:r>
        <w:rPr>
          <w:sz w:val="19"/>
        </w:rPr>
        <w:br/>
      </w:r>
      <w:r>
        <w:rPr>
          <w:sz w:val="19"/>
        </w:rPr>
        <w:t>关联依据编号：SUP-L-dispatch、LCL-057、LCL-058、LCL-066</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https://rsj.sh.gov.cn/trlzyhshbzbgz_17256/20240813/t0035_1427021.html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hinajob.mohrss.gov.cn/c/2026-05-18/543038.shtml" TargetMode="External"/><Relationship Id="rId13" Type="http://schemas.openxmlformats.org/officeDocument/2006/relationships/hyperlink" Target="https://www.dhlh.gov.cn/rsj/Web/_F0_0_28D04GIGEN3XZTQZ5FVD0YUCHG.htm" TargetMode="External"/><Relationship Id="rId14" Type="http://schemas.openxmlformats.org/officeDocument/2006/relationships/hyperlink" Target="https://www.court.gov.cn/zixun/xiangqing/472681.html" TargetMode="External"/><Relationship Id="rId15" Type="http://schemas.openxmlformats.org/officeDocument/2006/relationships/hyperlink" Target="https://rsj.sh.gov.cn/trlzyhshbzbgz_17256/20240813/t0035_1427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