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3DEF9">
      <w:pPr>
        <w:pStyle w:val="2"/>
        <w:spacing w:line="360" w:lineRule="auto"/>
        <w:rPr>
          <w:rFonts w:hint="eastAsia" w:ascii="宋体" w:hAnsi="宋体" w:eastAsia="宋体" w:cs="宋体"/>
          <w:sz w:val="24"/>
          <w:szCs w:val="24"/>
        </w:rPr>
      </w:pPr>
      <w:bookmarkStart w:id="0" w:name="_GoBack"/>
      <w:bookmarkEnd w:id="0"/>
      <w:r>
        <w:rPr>
          <w:rFonts w:hint="eastAsia" w:ascii="宋体" w:hAnsi="宋体" w:eastAsia="宋体" w:cs="宋体"/>
          <w:sz w:val="24"/>
          <w:szCs w:val="24"/>
        </w:rPr>
        <w:t>项目六：物流履约数据分析</w:t>
      </w:r>
    </w:p>
    <w:p w14:paraId="30CEEE88">
      <w:pPr>
        <w:pStyle w:val="3"/>
        <w:spacing w:line="360" w:lineRule="auto"/>
        <w:rPr>
          <w:rFonts w:hint="eastAsia" w:ascii="宋体" w:hAnsi="宋体" w:eastAsia="宋体" w:cs="宋体"/>
          <w:sz w:val="24"/>
          <w:szCs w:val="24"/>
        </w:rPr>
      </w:pPr>
      <w:r>
        <w:rPr>
          <w:rFonts w:hint="eastAsia" w:ascii="宋体" w:hAnsi="宋体" w:eastAsia="宋体" w:cs="宋体"/>
          <w:sz w:val="24"/>
          <w:szCs w:val="24"/>
        </w:rPr>
        <w:t>【AI导学】</w:t>
      </w:r>
    </w:p>
    <w:p w14:paraId="18AF3630">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智能体互动——物流优化的“破局”思考</w:t>
      </w:r>
    </w:p>
    <w:p w14:paraId="04D1A1AD">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电商消费体验的“最后一公里”由物流履约决定，高效的物流体系不仅能提升消费者满意度，更能通过成本控制、时效优化为企业降本增效。“鲜享优选”生鲜电商覆盖全国20个核心城市，合作3家快递公司，</w:t>
      </w:r>
      <w:r>
        <w:rPr>
          <w:rFonts w:hint="eastAsia" w:ascii="宋体" w:hAnsi="宋体" w:eastAsia="宋体" w:cs="宋体"/>
          <w:sz w:val="24"/>
          <w:szCs w:val="24"/>
          <w:lang w:val="en-US" w:eastAsia="zh-CN"/>
        </w:rPr>
        <w:t>三</w:t>
      </w:r>
      <w:r>
        <w:rPr>
          <w:rFonts w:hint="eastAsia" w:ascii="宋体" w:hAnsi="宋体" w:eastAsia="宋体" w:cs="宋体"/>
          <w:sz w:val="24"/>
          <w:szCs w:val="24"/>
        </w:rPr>
        <w:t>季度运营中，投入物流成本80万元，却因配送时效慢、包裹破损率高导致客诉率攀升15%，复购率下降8%。三季度物流履约数据显示：整体平均送货时间48小时，准时送达率89%，包裹完好率97.5%，远低于生鲜行业95%准时送达率、99%包裹完好率的基准要求，且单位物流成本较行业均值高出2元/单。消费者投诉集中在“生鲜变质”“配送超时”“包装破损”三大问题，直接导致店铺DSR物流评分从4.8降至4.2。作为物流运营分析师，你该如何从时效、成本、质量三维度拆解数据，定位物流链路</w:t>
      </w:r>
      <w:r>
        <w:rPr>
          <w:rFonts w:hint="eastAsia" w:ascii="宋体" w:hAnsi="宋体" w:eastAsia="宋体" w:cs="宋体"/>
          <w:sz w:val="24"/>
          <w:szCs w:val="24"/>
          <w:lang w:val="en-US" w:eastAsia="zh-CN"/>
        </w:rPr>
        <w:t>等</w:t>
      </w:r>
      <w:r>
        <w:rPr>
          <w:rFonts w:hint="eastAsia" w:ascii="宋体" w:hAnsi="宋体" w:eastAsia="宋体" w:cs="宋体"/>
          <w:sz w:val="24"/>
          <w:szCs w:val="24"/>
        </w:rPr>
        <w:t>核心问题，评估合作快递效能</w:t>
      </w:r>
      <w:r>
        <w:rPr>
          <w:rFonts w:hint="eastAsia" w:ascii="宋体" w:hAnsi="宋体" w:eastAsia="宋体" w:cs="宋体"/>
          <w:sz w:val="24"/>
          <w:szCs w:val="24"/>
          <w:lang w:eastAsia="zh-CN"/>
        </w:rPr>
        <w:t>，</w:t>
      </w:r>
      <w:r>
        <w:rPr>
          <w:rFonts w:hint="eastAsia" w:ascii="宋体" w:hAnsi="宋体" w:eastAsia="宋体" w:cs="宋体"/>
          <w:sz w:val="24"/>
          <w:szCs w:val="24"/>
        </w:rPr>
        <w:t>制定可落地的物流优化方案？本项目将带你搭建物流履约核心指标体系，完成数据处理与多维度分析，实现物流履约效率与服务质量的双重提升。</w:t>
      </w:r>
    </w:p>
    <w:p w14:paraId="2B29C862">
      <w:pPr>
        <w:pStyle w:val="3"/>
        <w:spacing w:line="360" w:lineRule="auto"/>
        <w:rPr>
          <w:rFonts w:hint="eastAsia" w:ascii="宋体" w:hAnsi="宋体" w:eastAsia="宋体" w:cs="宋体"/>
          <w:sz w:val="24"/>
          <w:szCs w:val="24"/>
        </w:rPr>
      </w:pPr>
      <w:r>
        <w:rPr>
          <w:rFonts w:hint="eastAsia" w:ascii="宋体" w:hAnsi="宋体" w:eastAsia="宋体" w:cs="宋体"/>
          <w:sz w:val="24"/>
          <w:szCs w:val="24"/>
        </w:rPr>
        <w:t>【学习目标】</w:t>
      </w:r>
    </w:p>
    <w:p w14:paraId="18AD899E">
      <w:pPr>
        <w:pStyle w:val="3"/>
        <w:spacing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722620" cy="3383915"/>
            <wp:effectExtent l="0" t="0" r="0" b="0"/>
            <wp:docPr id="9" name="图片 9" descr="制作思维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制作思维导图"/>
                    <pic:cNvPicPr>
                      <a:picLocks noChangeAspect="1"/>
                    </pic:cNvPicPr>
                  </pic:nvPicPr>
                  <pic:blipFill>
                    <a:blip r:embed="rId4"/>
                    <a:srcRect t="8109" r="-56" b="6832"/>
                    <a:stretch>
                      <a:fillRect/>
                    </a:stretch>
                  </pic:blipFill>
                  <pic:spPr>
                    <a:xfrm>
                      <a:off x="0" y="0"/>
                      <a:ext cx="5722620" cy="3383915"/>
                    </a:xfrm>
                    <a:prstGeom prst="rect">
                      <a:avLst/>
                    </a:prstGeom>
                  </pic:spPr>
                </pic:pic>
              </a:graphicData>
            </a:graphic>
          </wp:inline>
        </w:drawing>
      </w:r>
    </w:p>
    <w:p w14:paraId="1919ECF6">
      <w:pPr>
        <w:pStyle w:val="3"/>
        <w:spacing w:line="360" w:lineRule="auto"/>
        <w:rPr>
          <w:rFonts w:hint="eastAsia" w:ascii="宋体" w:hAnsi="宋体" w:eastAsia="宋体" w:cs="宋体"/>
          <w:sz w:val="24"/>
          <w:szCs w:val="24"/>
        </w:rPr>
      </w:pPr>
      <w:r>
        <w:rPr>
          <w:rFonts w:hint="eastAsia" w:ascii="宋体" w:hAnsi="宋体" w:eastAsia="宋体" w:cs="宋体"/>
          <w:sz w:val="24"/>
          <w:szCs w:val="24"/>
        </w:rPr>
        <w:t>【AI</w:t>
      </w:r>
      <w:r>
        <w:rPr>
          <w:rFonts w:hint="eastAsia" w:ascii="宋体" w:hAnsi="宋体" w:eastAsia="宋体" w:cs="宋体"/>
          <w:sz w:val="24"/>
          <w:szCs w:val="24"/>
          <w:lang w:val="en-US" w:eastAsia="zh-CN"/>
        </w:rPr>
        <w:t>助</w:t>
      </w:r>
      <w:r>
        <w:rPr>
          <w:rFonts w:hint="eastAsia" w:ascii="宋体" w:hAnsi="宋体" w:eastAsia="宋体" w:cs="宋体"/>
          <w:sz w:val="24"/>
          <w:szCs w:val="24"/>
        </w:rPr>
        <w:t>学】</w:t>
      </w:r>
    </w:p>
    <w:p w14:paraId="5BB9A5BF">
      <w:pPr>
        <w:pStyle w:val="3"/>
        <w:spacing w:line="360" w:lineRule="auto"/>
        <w:rPr>
          <w:rFonts w:hint="eastAsia" w:ascii="宋体" w:hAnsi="宋体" w:eastAsia="宋体" w:cs="宋体"/>
          <w:sz w:val="24"/>
          <w:szCs w:val="24"/>
        </w:rPr>
      </w:pPr>
      <w:r>
        <w:rPr>
          <w:rFonts w:hint="eastAsia" w:ascii="宋体" w:hAnsi="宋体" w:eastAsia="宋体" w:cs="宋体"/>
          <w:sz w:val="24"/>
          <w:szCs w:val="24"/>
        </w:rPr>
        <w:t>任务6.1 认识物流核心指标</w:t>
      </w:r>
    </w:p>
    <w:p w14:paraId="7BD57B9D">
      <w:pPr>
        <w:pStyle w:val="3"/>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（一）物流履约数据分析的意义</w:t>
      </w:r>
    </w:p>
    <w:p w14:paraId="171FE02A">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物流履约数据分析，是通过收集、整理和量化评估商品从下单到交付全过程中的时效、质量、成本及仓储等数据，来诊断物流效率瓶颈、优化配送方案、控制履约成本，并最终提升客户收货体验与平台运营效益的科学决策过程。</w:t>
      </w:r>
      <w:r>
        <w:rPr>
          <w:rFonts w:hint="eastAsia" w:ascii="宋体" w:hAnsi="宋体" w:eastAsia="宋体" w:cs="宋体"/>
          <w:sz w:val="24"/>
          <w:szCs w:val="24"/>
          <w:lang w:val="en-US" w:eastAsia="zh-CN"/>
        </w:rPr>
        <w:t>物流履约数据</w:t>
      </w:r>
      <w:r>
        <w:rPr>
          <w:rFonts w:hint="eastAsia" w:ascii="宋体" w:hAnsi="宋体" w:eastAsia="宋体" w:cs="宋体"/>
          <w:sz w:val="24"/>
          <w:szCs w:val="24"/>
        </w:rPr>
        <w:t>是评估物流履约能力的关键标尺，</w:t>
      </w:r>
      <w:r>
        <w:rPr>
          <w:rFonts w:hint="eastAsia" w:ascii="宋体" w:hAnsi="宋体" w:eastAsia="宋体" w:cs="宋体"/>
          <w:sz w:val="24"/>
          <w:szCs w:val="24"/>
          <w:lang w:val="en-US" w:eastAsia="zh-CN"/>
        </w:rPr>
        <w:t>其</w:t>
      </w:r>
      <w:r>
        <w:rPr>
          <w:rFonts w:hint="eastAsia" w:ascii="宋体" w:hAnsi="宋体" w:eastAsia="宋体" w:cs="宋体"/>
          <w:sz w:val="24"/>
          <w:szCs w:val="24"/>
        </w:rPr>
        <w:t>核心指标围绕送货速度、服务质量、物流成本三大维度搭建，通过物流履约数据分析可以实现以下目标：</w:t>
      </w:r>
    </w:p>
    <w:p w14:paraId="3C3BA75A">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精准定位效率瓶颈：通过送货时效分析、各环节耗时拆解等方法，快速识别物流全链路中的效率堵点，为针对性优化提供方向；</w:t>
      </w:r>
    </w:p>
    <w:p w14:paraId="2A174669">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量化评估服务质量：通过准时送达率、包裹完好率、错发率等指标，建立物流服务质量量化评估体系，替代“差不多”的模糊判断，实现服务水平的客观衡量与持续追踪；</w:t>
      </w:r>
    </w:p>
    <w:p w14:paraId="5554B515">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优化仓储运营效率：通过库存周转率、库存缺货率等指标，科学管理库存水平，避免库存积压导致的资金占用或缺货导致的销售损失，实现仓储成本与销售保障的动态平衡；</w:t>
      </w:r>
    </w:p>
    <w:p w14:paraId="745EBEFB">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rPr>
        <w:t>控制物流综合成本：通过单位物流成本、物流成本结构占比、退货物流成本等指标，精准核算物流各环节成本构成，识别成本优化空间，实现“降本不降质”的精益管控目标；</w:t>
      </w:r>
    </w:p>
    <w:p w14:paraId="4833B590">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w:t>
      </w:r>
      <w:r>
        <w:rPr>
          <w:rFonts w:hint="eastAsia" w:ascii="宋体" w:hAnsi="宋体" w:eastAsia="宋体" w:cs="宋体"/>
          <w:sz w:val="24"/>
          <w:szCs w:val="24"/>
          <w:lang w:eastAsia="zh-CN"/>
        </w:rPr>
        <w:t>）</w:t>
      </w:r>
      <w:r>
        <w:rPr>
          <w:rFonts w:hint="eastAsia" w:ascii="宋体" w:hAnsi="宋体" w:eastAsia="宋体" w:cs="宋体"/>
          <w:sz w:val="24"/>
          <w:szCs w:val="24"/>
        </w:rPr>
        <w:t>支撑物流策略闭环迭代：形成“数据监测—问题诊断—方案优化—效果验证”的闭环，如优化仓库分拣流程后，可通过后续数据验证分拣效率是否提升，持续优化物流履约效能。</w:t>
      </w:r>
    </w:p>
    <w:p w14:paraId="55792BF4">
      <w:pPr>
        <w:pStyle w:val="4"/>
        <w:spacing w:line="360" w:lineRule="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二</w:t>
      </w:r>
      <w:r>
        <w:rPr>
          <w:rFonts w:hint="eastAsia" w:ascii="宋体" w:hAnsi="宋体" w:eastAsia="宋体" w:cs="宋体"/>
          <w:sz w:val="24"/>
          <w:szCs w:val="24"/>
        </w:rPr>
        <w:t>）送货速度指标</w:t>
      </w:r>
    </w:p>
    <w:p w14:paraId="6194F377">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送货速度直接影响消费者购物体验，是生鲜、快消等品类物流履约的核心考核维度，包含</w:t>
      </w:r>
      <w:r>
        <w:rPr>
          <w:rFonts w:hint="eastAsia" w:ascii="宋体" w:hAnsi="宋体" w:eastAsia="宋体" w:cs="宋体"/>
          <w:sz w:val="24"/>
          <w:szCs w:val="24"/>
          <w:lang w:val="en-US" w:eastAsia="zh-CN"/>
        </w:rPr>
        <w:t>平均送货时间和准时送达率</w:t>
      </w:r>
      <w:r>
        <w:rPr>
          <w:rFonts w:hint="eastAsia" w:ascii="宋体" w:hAnsi="宋体" w:eastAsia="宋体" w:cs="宋体"/>
          <w:sz w:val="24"/>
          <w:szCs w:val="24"/>
        </w:rPr>
        <w:t>两大基础指标</w:t>
      </w:r>
      <w:r>
        <w:rPr>
          <w:rFonts w:hint="eastAsia" w:ascii="宋体" w:hAnsi="宋体" w:eastAsia="宋体" w:cs="宋体"/>
          <w:sz w:val="24"/>
          <w:szCs w:val="24"/>
          <w:lang w:eastAsia="zh-CN"/>
        </w:rPr>
        <w:t>。送货速度指标</w:t>
      </w:r>
      <w:r>
        <w:rPr>
          <w:rFonts w:hint="eastAsia" w:ascii="宋体" w:hAnsi="宋体" w:eastAsia="宋体" w:cs="宋体"/>
          <w:sz w:val="24"/>
          <w:szCs w:val="24"/>
        </w:rPr>
        <w:t>需结合行业特性与品类要求</w:t>
      </w:r>
      <w:r>
        <w:rPr>
          <w:rFonts w:hint="eastAsia" w:ascii="宋体" w:hAnsi="宋体" w:eastAsia="宋体" w:cs="宋体"/>
          <w:sz w:val="24"/>
          <w:szCs w:val="24"/>
          <w:lang w:val="en-US" w:eastAsia="zh-CN"/>
        </w:rPr>
        <w:t>进行</w:t>
      </w:r>
      <w:r>
        <w:rPr>
          <w:rFonts w:hint="eastAsia" w:ascii="宋体" w:hAnsi="宋体" w:eastAsia="宋体" w:cs="宋体"/>
          <w:sz w:val="24"/>
          <w:szCs w:val="24"/>
        </w:rPr>
        <w:t>解读，精准定位时效卡点。</w:t>
      </w:r>
    </w:p>
    <w:p w14:paraId="0422F9D5">
      <w:pPr>
        <w:pStyle w:val="18"/>
        <w:numPr>
          <w:ilvl w:val="0"/>
          <w:numId w:val="0"/>
        </w:numPr>
        <w:spacing w:line="360" w:lineRule="auto"/>
        <w:ind w:leftChars="0" w:firstLine="482" w:firstLineChars="200"/>
        <w:rPr>
          <w:rFonts w:hint="eastAsia" w:ascii="宋体" w:hAnsi="宋体" w:eastAsia="宋体" w:cs="宋体"/>
          <w:sz w:val="24"/>
          <w:szCs w:val="24"/>
          <w:lang w:val="en-US" w:eastAsia="zh-CN"/>
        </w:rPr>
      </w:pPr>
      <w:r>
        <w:rPr>
          <w:rFonts w:hint="eastAsia" w:ascii="宋体" w:hAnsi="宋体" w:eastAsia="宋体" w:cs="宋体"/>
          <w:b/>
          <w:bCs/>
          <w:sz w:val="24"/>
          <w:szCs w:val="24"/>
        </w:rPr>
        <w:t>平均送货时间（Average Delivery Time，ADT）</w:t>
      </w:r>
      <w:r>
        <w:rPr>
          <w:rFonts w:hint="eastAsia" w:ascii="宋体" w:hAnsi="宋体" w:eastAsia="宋体" w:cs="宋体"/>
          <w:b/>
          <w:bCs/>
          <w:sz w:val="24"/>
          <w:szCs w:val="24"/>
          <w:lang w:eastAsia="zh-CN"/>
        </w:rPr>
        <w:t>：</w:t>
      </w:r>
      <w:r>
        <w:rPr>
          <w:rFonts w:hint="eastAsia" w:ascii="宋体" w:hAnsi="宋体" w:eastAsia="宋体" w:cs="宋体"/>
          <w:sz w:val="24"/>
          <w:szCs w:val="24"/>
        </w:rPr>
        <w:t>∑（每笔订单的签收时间-下单时间）/</w:t>
      </w:r>
      <w:r>
        <w:rPr>
          <w:rFonts w:hint="eastAsia" w:ascii="宋体" w:hAnsi="宋体" w:eastAsia="宋体" w:cs="宋体"/>
          <w:sz w:val="24"/>
          <w:szCs w:val="24"/>
          <w:lang w:val="en-US" w:eastAsia="zh-CN"/>
        </w:rPr>
        <w:t>总</w:t>
      </w:r>
      <w:r>
        <w:rPr>
          <w:rFonts w:hint="eastAsia" w:ascii="宋体" w:hAnsi="宋体" w:eastAsia="宋体" w:cs="宋体"/>
          <w:sz w:val="24"/>
          <w:szCs w:val="24"/>
        </w:rPr>
        <w:t>订单数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核心价值是</w:t>
      </w:r>
      <w:r>
        <w:rPr>
          <w:rFonts w:hint="eastAsia" w:ascii="宋体" w:hAnsi="宋体" w:eastAsia="宋体" w:cs="宋体"/>
          <w:sz w:val="24"/>
          <w:szCs w:val="24"/>
          <w:lang w:eastAsia="zh-CN"/>
        </w:rPr>
        <w:t>反映物流全链路的整体效率，是客户最直观的物流体验指标。</w:t>
      </w:r>
      <w:r>
        <w:rPr>
          <w:rFonts w:hint="eastAsia" w:ascii="宋体" w:hAnsi="宋体" w:eastAsia="宋体" w:cs="宋体"/>
          <w:sz w:val="24"/>
          <w:szCs w:val="24"/>
          <w:lang w:val="en-US" w:eastAsia="zh-CN"/>
        </w:rPr>
        <w:t>通过</w:t>
      </w:r>
      <w:r>
        <w:rPr>
          <w:rFonts w:hint="eastAsia" w:ascii="宋体" w:hAnsi="宋体" w:eastAsia="宋体" w:cs="宋体"/>
          <w:sz w:val="24"/>
          <w:szCs w:val="24"/>
        </w:rPr>
        <w:t>商家发货时效、仓储分拣时长、干线运输时长、末端配送时长等全链路环节</w:t>
      </w:r>
      <w:r>
        <w:rPr>
          <w:rFonts w:hint="eastAsia" w:ascii="宋体" w:hAnsi="宋体" w:eastAsia="宋体" w:cs="宋体"/>
          <w:sz w:val="24"/>
          <w:szCs w:val="24"/>
          <w:lang w:eastAsia="zh-CN"/>
        </w:rPr>
        <w:t>的</w:t>
      </w:r>
      <w:r>
        <w:rPr>
          <w:rFonts w:hint="eastAsia" w:ascii="宋体" w:hAnsi="宋体" w:eastAsia="宋体" w:cs="宋体"/>
          <w:sz w:val="24"/>
          <w:szCs w:val="24"/>
          <w:lang w:val="en-US" w:eastAsia="zh-CN"/>
        </w:rPr>
        <w:t>时效分析，识别配送方式（快递/物流/同城配送）、收货区域、快递公司、商品品类等</w:t>
      </w:r>
      <w:r>
        <w:rPr>
          <w:rFonts w:hint="eastAsia" w:ascii="宋体" w:hAnsi="宋体" w:eastAsia="宋体" w:cs="宋体"/>
          <w:sz w:val="24"/>
          <w:szCs w:val="24"/>
        </w:rPr>
        <w:t>不同维度下的时效差异</w:t>
      </w:r>
      <w:r>
        <w:rPr>
          <w:rFonts w:hint="eastAsia" w:ascii="宋体" w:hAnsi="宋体" w:eastAsia="宋体" w:cs="宋体"/>
          <w:sz w:val="24"/>
          <w:szCs w:val="24"/>
          <w:lang w:eastAsia="zh-CN"/>
        </w:rPr>
        <w:t>，</w:t>
      </w:r>
      <w:r>
        <w:rPr>
          <w:rFonts w:hint="eastAsia" w:ascii="宋体" w:hAnsi="宋体" w:eastAsia="宋体" w:cs="宋体"/>
          <w:sz w:val="24"/>
          <w:szCs w:val="24"/>
        </w:rPr>
        <w:t>为链路优化提供方向。电商行业标杆值为2-3天（同城/次日达场景），3-5天（跨省标准快递），超过7天将显著影响客户满意度。</w:t>
      </w:r>
    </w:p>
    <w:p w14:paraId="158A4F2D">
      <w:pPr>
        <w:pStyle w:val="18"/>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准时送达率（On-Time Delivery Rate，OTDR）</w:t>
      </w:r>
      <w:r>
        <w:rPr>
          <w:rFonts w:hint="eastAsia" w:ascii="宋体" w:hAnsi="宋体" w:eastAsia="宋体" w:cs="宋体"/>
          <w:b/>
          <w:bCs/>
          <w:sz w:val="24"/>
          <w:szCs w:val="24"/>
          <w:lang w:eastAsia="zh-CN"/>
        </w:rPr>
        <w:t>：</w:t>
      </w:r>
      <w:r>
        <w:rPr>
          <w:rFonts w:hint="eastAsia" w:ascii="宋体" w:hAnsi="宋体" w:eastAsia="宋体" w:cs="宋体"/>
          <w:sz w:val="24"/>
          <w:szCs w:val="24"/>
        </w:rPr>
        <w:t>承诺时间内签收订单数/</w:t>
      </w:r>
      <w:r>
        <w:rPr>
          <w:rFonts w:hint="eastAsia" w:ascii="宋体" w:hAnsi="宋体" w:eastAsia="宋体" w:cs="宋体"/>
          <w:sz w:val="24"/>
          <w:szCs w:val="24"/>
          <w:lang w:val="en-US" w:eastAsia="zh-CN"/>
        </w:rPr>
        <w:t>总</w:t>
      </w:r>
      <w:r>
        <w:rPr>
          <w:rFonts w:hint="eastAsia" w:ascii="宋体" w:hAnsi="宋体" w:eastAsia="宋体" w:cs="宋体"/>
          <w:sz w:val="24"/>
          <w:szCs w:val="24"/>
        </w:rPr>
        <w:t>订单数×100%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核心价值是反映物流履约的可靠性，</w:t>
      </w:r>
      <w:r>
        <w:rPr>
          <w:rFonts w:hint="eastAsia" w:ascii="宋体" w:hAnsi="宋体" w:eastAsia="宋体" w:cs="宋体"/>
          <w:sz w:val="24"/>
          <w:szCs w:val="24"/>
        </w:rPr>
        <w:t>衡量物流配送履约准确性，是物流时效优化的核心参考指标</w:t>
      </w:r>
      <w:r>
        <w:rPr>
          <w:rFonts w:hint="eastAsia" w:ascii="宋体" w:hAnsi="宋体" w:eastAsia="宋体" w:cs="宋体"/>
          <w:sz w:val="24"/>
          <w:szCs w:val="24"/>
          <w:lang w:val="en-US" w:eastAsia="zh-CN"/>
        </w:rPr>
        <w:t>和</w:t>
      </w:r>
      <w:r>
        <w:rPr>
          <w:rFonts w:hint="eastAsia" w:ascii="宋体" w:hAnsi="宋体" w:eastAsia="宋体" w:cs="宋体"/>
          <w:sz w:val="24"/>
          <w:szCs w:val="24"/>
        </w:rPr>
        <w:t>客户信任度的重要支撑</w:t>
      </w:r>
      <w:r>
        <w:rPr>
          <w:rFonts w:hint="eastAsia" w:ascii="宋体" w:hAnsi="宋体" w:eastAsia="宋体" w:cs="宋体"/>
          <w:sz w:val="24"/>
          <w:szCs w:val="24"/>
          <w:lang w:eastAsia="zh-CN"/>
        </w:rPr>
        <w:t>。</w:t>
      </w:r>
      <w:r>
        <w:rPr>
          <w:rFonts w:hint="eastAsia" w:ascii="宋体" w:hAnsi="宋体" w:eastAsia="宋体" w:cs="宋体"/>
          <w:sz w:val="24"/>
          <w:szCs w:val="24"/>
        </w:rPr>
        <w:t>低于行业均值需从仓储分拣、运输调度、末端配送等环节逐一排查卡点问题，</w:t>
      </w:r>
      <w:r>
        <w:rPr>
          <w:rFonts w:hint="eastAsia" w:ascii="宋体" w:hAnsi="宋体" w:eastAsia="宋体" w:cs="宋体"/>
          <w:sz w:val="24"/>
          <w:szCs w:val="24"/>
          <w:lang w:val="en-US" w:eastAsia="zh-CN"/>
        </w:rPr>
        <w:t>注意</w:t>
      </w:r>
      <w:r>
        <w:rPr>
          <w:rFonts w:hint="eastAsia" w:ascii="宋体" w:hAnsi="宋体" w:eastAsia="宋体" w:cs="宋体"/>
          <w:sz w:val="24"/>
          <w:szCs w:val="24"/>
        </w:rPr>
        <w:t>剔除因消费者原因（如拒收、无人签收、地址错误）导致的超时订单。</w:t>
      </w:r>
    </w:p>
    <w:p w14:paraId="65837BA5">
      <w:pPr>
        <w:pStyle w:val="4"/>
        <w:spacing w:line="360" w:lineRule="auto"/>
        <w:rPr>
          <w:rFonts w:hint="eastAsia" w:ascii="宋体" w:hAnsi="宋体" w:eastAsia="宋体" w:cs="宋体"/>
          <w:sz w:val="24"/>
          <w:szCs w:val="24"/>
        </w:rPr>
      </w:pPr>
      <w:r>
        <w:rPr>
          <w:rFonts w:hint="eastAsia" w:ascii="宋体" w:hAnsi="宋体" w:eastAsia="宋体" w:cs="宋体"/>
          <w:sz w:val="24"/>
          <w:szCs w:val="24"/>
        </w:rPr>
        <w:t>（二）服务质量指标</w:t>
      </w:r>
    </w:p>
    <w:p w14:paraId="1B17BC4C">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物流服务质量直接决定消费者对物流环节的满意度，影响店铺口碑、DSR评分与用户复购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包裹完好率和库存周转率</w:t>
      </w:r>
      <w:r>
        <w:rPr>
          <w:rFonts w:hint="eastAsia" w:ascii="宋体" w:hAnsi="宋体" w:eastAsia="宋体" w:cs="宋体"/>
          <w:sz w:val="24"/>
          <w:szCs w:val="24"/>
          <w:lang w:eastAsia="zh-CN"/>
        </w:rPr>
        <w:t>，</w:t>
      </w:r>
      <w:r>
        <w:rPr>
          <w:rFonts w:hint="eastAsia" w:ascii="宋体" w:hAnsi="宋体" w:eastAsia="宋体" w:cs="宋体"/>
          <w:sz w:val="24"/>
          <w:szCs w:val="24"/>
        </w:rPr>
        <w:t>是物流服务质量的核心量化指标。</w:t>
      </w:r>
    </w:p>
    <w:p w14:paraId="783EA442">
      <w:pPr>
        <w:pStyle w:val="18"/>
        <w:spacing w:line="360" w:lineRule="auto"/>
        <w:ind w:firstLine="482" w:firstLineChars="200"/>
        <w:rPr>
          <w:rFonts w:hint="eastAsia" w:ascii="宋体" w:hAnsi="宋体" w:eastAsia="宋体" w:cs="宋体"/>
          <w:sz w:val="24"/>
          <w:szCs w:val="24"/>
        </w:rPr>
      </w:pPr>
      <w:r>
        <w:rPr>
          <w:rFonts w:hint="eastAsia" w:ascii="宋体" w:hAnsi="宋体" w:eastAsia="宋体" w:cs="宋体"/>
          <w:b/>
          <w:bCs/>
          <w:sz w:val="24"/>
          <w:szCs w:val="24"/>
        </w:rPr>
        <w:t>包裹完好率（Package Integrity Rate，PIR）</w:t>
      </w:r>
      <w:r>
        <w:rPr>
          <w:rFonts w:hint="eastAsia" w:ascii="宋体" w:hAnsi="宋体" w:eastAsia="宋体" w:cs="宋体"/>
          <w:b/>
          <w:bCs/>
          <w:sz w:val="24"/>
          <w:szCs w:val="24"/>
          <w:lang w:eastAsia="zh-CN"/>
        </w:rPr>
        <w:t>：</w:t>
      </w:r>
      <w:r>
        <w:rPr>
          <w:rFonts w:hint="eastAsia" w:ascii="宋体" w:hAnsi="宋体" w:eastAsia="宋体" w:cs="宋体"/>
          <w:sz w:val="24"/>
          <w:szCs w:val="24"/>
        </w:rPr>
        <w:t>完好签收订单数/总订单数×100%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核心价值是反映物流包装质量和运输过程的安全性，</w:t>
      </w:r>
      <w:r>
        <w:rPr>
          <w:rFonts w:hint="eastAsia" w:ascii="宋体" w:hAnsi="宋体" w:eastAsia="宋体" w:cs="宋体"/>
          <w:sz w:val="24"/>
          <w:szCs w:val="24"/>
        </w:rPr>
        <w:t>通过物流轨迹数据</w:t>
      </w:r>
      <w:r>
        <w:rPr>
          <w:rFonts w:hint="eastAsia" w:ascii="宋体" w:hAnsi="宋体" w:eastAsia="宋体" w:cs="宋体"/>
          <w:sz w:val="24"/>
          <w:szCs w:val="24"/>
          <w:lang w:eastAsia="zh-CN"/>
        </w:rPr>
        <w:t>，</w:t>
      </w:r>
      <w:r>
        <w:rPr>
          <w:rFonts w:hint="eastAsia" w:ascii="宋体" w:hAnsi="宋体" w:eastAsia="宋体" w:cs="宋体"/>
          <w:sz w:val="24"/>
          <w:szCs w:val="24"/>
        </w:rPr>
        <w:t>结合破损类型（包装破损、商品破损、漏发、错发）</w:t>
      </w:r>
      <w:r>
        <w:rPr>
          <w:rFonts w:hint="eastAsia" w:ascii="宋体" w:hAnsi="宋体" w:eastAsia="宋体" w:cs="宋体"/>
          <w:sz w:val="24"/>
          <w:szCs w:val="24"/>
          <w:lang w:eastAsia="zh-CN"/>
        </w:rPr>
        <w:t>的</w:t>
      </w:r>
      <w:r>
        <w:rPr>
          <w:rFonts w:hint="eastAsia" w:ascii="宋体" w:hAnsi="宋体" w:eastAsia="宋体" w:cs="宋体"/>
          <w:sz w:val="24"/>
          <w:szCs w:val="24"/>
        </w:rPr>
        <w:t>细分分析，追溯</w:t>
      </w:r>
      <w:r>
        <w:rPr>
          <w:rFonts w:hint="eastAsia" w:ascii="宋体" w:hAnsi="宋体" w:eastAsia="宋体" w:cs="宋体"/>
          <w:b w:val="0"/>
          <w:bCs w:val="0"/>
          <w:sz w:val="24"/>
          <w:szCs w:val="24"/>
        </w:rPr>
        <w:t>仓储分拣、干线运输、末端配送的责任环节</w:t>
      </w:r>
      <w:r>
        <w:rPr>
          <w:rFonts w:hint="eastAsia" w:ascii="宋体" w:hAnsi="宋体" w:eastAsia="宋体" w:cs="宋体"/>
          <w:sz w:val="24"/>
          <w:szCs w:val="24"/>
        </w:rPr>
        <w:t>，针对性优化操作流程。</w:t>
      </w:r>
    </w:p>
    <w:p w14:paraId="290D2F58">
      <w:pPr>
        <w:pStyle w:val="18"/>
        <w:spacing w:line="360" w:lineRule="auto"/>
        <w:ind w:firstLine="482" w:firstLineChars="200"/>
        <w:rPr>
          <w:rFonts w:hint="eastAsia" w:ascii="宋体" w:hAnsi="宋体" w:eastAsia="宋体" w:cs="宋体"/>
          <w:sz w:val="24"/>
          <w:szCs w:val="24"/>
        </w:rPr>
      </w:pPr>
      <w:r>
        <w:rPr>
          <w:rFonts w:hint="eastAsia" w:ascii="宋体" w:hAnsi="宋体" w:eastAsia="宋体" w:cs="宋体"/>
          <w:b/>
          <w:bCs/>
          <w:sz w:val="24"/>
          <w:szCs w:val="24"/>
        </w:rPr>
        <w:t>库存周转率（Inventory Turnover Rate，ITR）</w:t>
      </w:r>
      <w:r>
        <w:rPr>
          <w:rFonts w:hint="eastAsia" w:ascii="宋体" w:hAnsi="宋体" w:eastAsia="宋体" w:cs="宋体"/>
          <w:b/>
          <w:bCs/>
          <w:sz w:val="24"/>
          <w:szCs w:val="24"/>
          <w:lang w:eastAsia="zh-CN"/>
        </w:rPr>
        <w:t>：</w:t>
      </w:r>
      <w:r>
        <w:rPr>
          <w:rFonts w:hint="eastAsia" w:ascii="宋体" w:hAnsi="宋体" w:eastAsia="宋体" w:cs="宋体"/>
          <w:sz w:val="24"/>
          <w:szCs w:val="24"/>
          <w:highlight w:val="none"/>
        </w:rPr>
        <w:t>一定时期内的销售成本/同期平均库存余额×100%</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lang w:val="en-US" w:eastAsia="zh-CN"/>
        </w:rPr>
        <w:t>核</w:t>
      </w:r>
      <w:r>
        <w:rPr>
          <w:rFonts w:hint="eastAsia" w:ascii="宋体" w:hAnsi="宋体" w:eastAsia="宋体" w:cs="宋体"/>
          <w:sz w:val="24"/>
          <w:szCs w:val="24"/>
          <w:lang w:val="en-US" w:eastAsia="zh-CN"/>
        </w:rPr>
        <w:t>心价值是</w:t>
      </w:r>
      <w:r>
        <w:rPr>
          <w:rFonts w:hint="eastAsia" w:ascii="宋体" w:hAnsi="宋体" w:eastAsia="宋体" w:cs="宋体"/>
          <w:sz w:val="24"/>
          <w:szCs w:val="24"/>
        </w:rPr>
        <w:t>衡量商品在仓储环节的流转效率，反映库存积压或缺货情况，是衔接仓储管理与物流配送的关键指标，直接影响发货时效</w:t>
      </w:r>
      <w:r>
        <w:rPr>
          <w:rFonts w:hint="eastAsia" w:ascii="宋体" w:hAnsi="宋体" w:eastAsia="宋体" w:cs="宋体"/>
          <w:sz w:val="24"/>
          <w:szCs w:val="24"/>
          <w:lang w:eastAsia="zh-CN"/>
        </w:rPr>
        <w:t>。</w:t>
      </w:r>
      <w:r>
        <w:rPr>
          <w:rFonts w:hint="eastAsia" w:ascii="宋体" w:hAnsi="宋体" w:eastAsia="宋体" w:cs="宋体"/>
          <w:sz w:val="24"/>
          <w:szCs w:val="24"/>
        </w:rPr>
        <w:t>周转率越高，说明库存流转越快，物流配送的备货支撑越高效；周转率过低易导致库存积压、仓储成本上升，过高则可能引发缺货、发货延迟，需控制在行业合理区间。</w:t>
      </w:r>
    </w:p>
    <w:p w14:paraId="433B2A6D">
      <w:pPr>
        <w:pStyle w:val="4"/>
        <w:spacing w:line="360" w:lineRule="auto"/>
        <w:rPr>
          <w:rFonts w:hint="eastAsia" w:ascii="宋体" w:hAnsi="宋体" w:eastAsia="宋体" w:cs="宋体"/>
          <w:sz w:val="24"/>
          <w:szCs w:val="24"/>
        </w:rPr>
      </w:pPr>
      <w:r>
        <w:rPr>
          <w:rFonts w:hint="eastAsia" w:ascii="宋体" w:hAnsi="宋体" w:eastAsia="宋体" w:cs="宋体"/>
          <w:sz w:val="24"/>
          <w:szCs w:val="24"/>
        </w:rPr>
        <w:t>（三）物流成本指标</w:t>
      </w:r>
    </w:p>
    <w:p w14:paraId="316E3185">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物流成本是电商企业运营成本的重要组成部分，核心指标聚焦</w:t>
      </w:r>
      <w:r>
        <w:rPr>
          <w:rFonts w:hint="eastAsia" w:ascii="宋体" w:hAnsi="宋体" w:eastAsia="宋体" w:cs="宋体"/>
          <w:b w:val="0"/>
          <w:bCs w:val="0"/>
          <w:sz w:val="24"/>
          <w:szCs w:val="24"/>
        </w:rPr>
        <w:t>单位成本与成本结构</w:t>
      </w:r>
      <w:r>
        <w:rPr>
          <w:rFonts w:hint="eastAsia" w:ascii="宋体" w:hAnsi="宋体" w:eastAsia="宋体" w:cs="宋体"/>
          <w:sz w:val="24"/>
          <w:szCs w:val="24"/>
        </w:rPr>
        <w:t>，是实现“降本增效”的核心量化依据，需结合时效、质量指标做联动分析。</w:t>
      </w:r>
    </w:p>
    <w:p w14:paraId="01F04BEF">
      <w:pPr>
        <w:pStyle w:val="18"/>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单位物流成本</w:t>
      </w:r>
      <w:r>
        <w:rPr>
          <w:rFonts w:hint="eastAsia" w:ascii="宋体" w:hAnsi="宋体" w:eastAsia="宋体" w:cs="宋体"/>
          <w:b/>
          <w:bCs/>
          <w:sz w:val="24"/>
          <w:szCs w:val="24"/>
          <w:lang w:eastAsia="zh-CN"/>
        </w:rPr>
        <w:t>：</w:t>
      </w:r>
      <w:r>
        <w:rPr>
          <w:rFonts w:hint="eastAsia" w:ascii="宋体" w:hAnsi="宋体" w:eastAsia="宋体" w:cs="宋体"/>
          <w:sz w:val="24"/>
          <w:szCs w:val="24"/>
        </w:rPr>
        <w:t>总物流成本/总订单数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核心价值是反映物流成本控制水平</w:t>
      </w:r>
      <w:r>
        <w:rPr>
          <w:rFonts w:hint="eastAsia" w:ascii="宋体" w:hAnsi="宋体" w:eastAsia="宋体" w:cs="宋体"/>
          <w:sz w:val="24"/>
          <w:szCs w:val="24"/>
        </w:rPr>
        <w:t>，需按配送</w:t>
      </w:r>
      <w:r>
        <w:rPr>
          <w:rFonts w:hint="eastAsia" w:ascii="宋体" w:hAnsi="宋体" w:eastAsia="宋体" w:cs="宋体"/>
          <w:sz w:val="24"/>
          <w:szCs w:val="24"/>
          <w:lang w:val="en-US" w:eastAsia="zh-CN"/>
        </w:rPr>
        <w:t>方式/</w:t>
      </w:r>
      <w:r>
        <w:rPr>
          <w:rFonts w:hint="eastAsia" w:ascii="宋体" w:hAnsi="宋体" w:eastAsia="宋体" w:cs="宋体"/>
          <w:sz w:val="24"/>
          <w:szCs w:val="24"/>
        </w:rPr>
        <w:t>区域、快递公司</w:t>
      </w:r>
      <w:r>
        <w:rPr>
          <w:rFonts w:hint="eastAsia" w:ascii="宋体" w:hAnsi="宋体" w:eastAsia="宋体" w:cs="宋体"/>
          <w:sz w:val="24"/>
          <w:szCs w:val="24"/>
          <w:lang w:val="en-US" w:eastAsia="zh-CN"/>
        </w:rPr>
        <w:t>等</w:t>
      </w:r>
      <w:r>
        <w:rPr>
          <w:rFonts w:hint="eastAsia" w:ascii="宋体" w:hAnsi="宋体" w:eastAsia="宋体" w:cs="宋体"/>
          <w:sz w:val="24"/>
          <w:szCs w:val="24"/>
        </w:rPr>
        <w:t>拆分计算，识别高成本维度，是对比合作快递性价比的</w:t>
      </w:r>
      <w:r>
        <w:rPr>
          <w:rFonts w:hint="eastAsia" w:ascii="宋体" w:hAnsi="宋体" w:eastAsia="宋体" w:cs="宋体"/>
          <w:sz w:val="24"/>
          <w:szCs w:val="24"/>
          <w:lang w:val="en-US" w:eastAsia="zh-CN"/>
        </w:rPr>
        <w:t>重要</w:t>
      </w:r>
      <w:r>
        <w:rPr>
          <w:rFonts w:hint="eastAsia" w:ascii="宋体" w:hAnsi="宋体" w:eastAsia="宋体" w:cs="宋体"/>
          <w:sz w:val="24"/>
          <w:szCs w:val="24"/>
        </w:rPr>
        <w:t>指标。</w:t>
      </w:r>
    </w:p>
    <w:p w14:paraId="30ADBD97">
      <w:pPr>
        <w:pStyle w:val="18"/>
        <w:numPr>
          <w:ilvl w:val="0"/>
          <w:numId w:val="0"/>
        </w:numPr>
        <w:spacing w:line="360" w:lineRule="auto"/>
        <w:ind w:leftChars="0" w:firstLine="482" w:firstLineChars="200"/>
        <w:rPr>
          <w:rFonts w:hint="eastAsia" w:ascii="宋体" w:hAnsi="宋体" w:eastAsia="宋体" w:cs="宋体"/>
          <w:b/>
          <w:bCs/>
          <w:sz w:val="24"/>
          <w:szCs w:val="24"/>
          <w:lang w:eastAsia="zh-CN"/>
        </w:rPr>
      </w:pPr>
      <w:r>
        <w:rPr>
          <w:rFonts w:hint="eastAsia" w:ascii="宋体" w:hAnsi="宋体" w:eastAsia="宋体" w:cs="宋体"/>
          <w:b/>
          <w:bCs/>
          <w:sz w:val="24"/>
          <w:szCs w:val="24"/>
        </w:rPr>
        <w:t>退货物流成本</w:t>
      </w:r>
      <w:r>
        <w:rPr>
          <w:rFonts w:hint="eastAsia" w:ascii="宋体" w:hAnsi="宋体" w:eastAsia="宋体" w:cs="宋体"/>
          <w:b/>
          <w:bCs/>
          <w:sz w:val="24"/>
          <w:szCs w:val="24"/>
          <w:lang w:eastAsia="zh-CN"/>
        </w:rPr>
        <w:t>：</w:t>
      </w:r>
      <w:r>
        <w:rPr>
          <w:rFonts w:hint="eastAsia" w:ascii="宋体" w:hAnsi="宋体" w:eastAsia="宋体" w:cs="宋体"/>
          <w:sz w:val="24"/>
          <w:szCs w:val="24"/>
          <w:lang w:eastAsia="zh-CN"/>
        </w:rPr>
        <w:t>退货件数×单件退货物流费用，</w:t>
      </w:r>
      <w:r>
        <w:rPr>
          <w:rFonts w:hint="eastAsia" w:ascii="宋体" w:hAnsi="宋体" w:eastAsia="宋体" w:cs="宋体"/>
          <w:sz w:val="24"/>
          <w:szCs w:val="24"/>
          <w:lang w:val="en-US" w:eastAsia="zh-CN"/>
        </w:rPr>
        <w:t>核心价值是</w:t>
      </w:r>
      <w:r>
        <w:rPr>
          <w:rFonts w:hint="eastAsia" w:ascii="宋体" w:hAnsi="宋体" w:eastAsia="宋体" w:cs="宋体"/>
          <w:sz w:val="24"/>
          <w:szCs w:val="24"/>
          <w:lang w:eastAsia="zh-CN"/>
        </w:rPr>
        <w:t>反映售后物流成本，需区分原因（质量/错发/客户原因）</w:t>
      </w:r>
      <w:r>
        <w:rPr>
          <w:rFonts w:hint="eastAsia" w:ascii="宋体" w:hAnsi="宋体" w:eastAsia="宋体" w:cs="宋体"/>
          <w:sz w:val="24"/>
          <w:szCs w:val="24"/>
          <w:lang w:val="en-US" w:eastAsia="zh-CN"/>
        </w:rPr>
        <w:t>计算</w:t>
      </w:r>
      <w:r>
        <w:rPr>
          <w:rFonts w:hint="eastAsia" w:ascii="宋体" w:hAnsi="宋体" w:eastAsia="宋体" w:cs="宋体"/>
          <w:sz w:val="24"/>
          <w:szCs w:val="24"/>
          <w:lang w:eastAsia="zh-CN"/>
        </w:rPr>
        <w:t>因退换货产生的逆向物流费用总额，为</w:t>
      </w:r>
      <w:r>
        <w:rPr>
          <w:rFonts w:hint="eastAsia" w:ascii="宋体" w:hAnsi="宋体" w:eastAsia="宋体" w:cs="宋体"/>
          <w:sz w:val="24"/>
          <w:szCs w:val="24"/>
          <w:lang w:val="en-US" w:eastAsia="zh-CN"/>
        </w:rPr>
        <w:t>降低售后成本</w:t>
      </w:r>
      <w:r>
        <w:rPr>
          <w:rFonts w:hint="eastAsia" w:ascii="宋体" w:hAnsi="宋体" w:eastAsia="宋体" w:cs="宋体"/>
          <w:sz w:val="24"/>
          <w:szCs w:val="24"/>
          <w:lang w:eastAsia="zh-CN"/>
        </w:rPr>
        <w:t>提供方向。</w:t>
      </w:r>
    </w:p>
    <w:p w14:paraId="3E6C5B66">
      <w:pPr>
        <w:pStyle w:val="18"/>
        <w:numPr>
          <w:ilvl w:val="0"/>
          <w:numId w:val="0"/>
        </w:numPr>
        <w:spacing w:line="360" w:lineRule="auto"/>
        <w:ind w:leftChars="0" w:firstLine="482" w:firstLineChars="200"/>
        <w:rPr>
          <w:rFonts w:hint="eastAsia" w:ascii="宋体" w:hAnsi="宋体" w:eastAsia="宋体" w:cs="宋体"/>
          <w:sz w:val="24"/>
          <w:szCs w:val="24"/>
        </w:rPr>
      </w:pPr>
      <w:r>
        <w:rPr>
          <w:rFonts w:hint="eastAsia" w:ascii="宋体" w:hAnsi="宋体" w:eastAsia="宋体" w:cs="宋体"/>
          <w:b/>
          <w:bCs/>
          <w:sz w:val="24"/>
          <w:szCs w:val="24"/>
        </w:rPr>
        <w:t>物流成本结构占比</w:t>
      </w:r>
      <w:r>
        <w:rPr>
          <w:rFonts w:hint="eastAsia" w:ascii="宋体" w:hAnsi="宋体" w:eastAsia="宋体" w:cs="宋体"/>
          <w:b/>
          <w:bCs/>
          <w:sz w:val="24"/>
          <w:szCs w:val="24"/>
          <w:lang w:eastAsia="zh-CN"/>
        </w:rPr>
        <w:t>：</w:t>
      </w:r>
      <w:r>
        <w:rPr>
          <w:rFonts w:hint="eastAsia" w:ascii="宋体" w:hAnsi="宋体" w:eastAsia="宋体" w:cs="宋体"/>
          <w:sz w:val="24"/>
          <w:szCs w:val="24"/>
        </w:rPr>
        <w:t>某环节</w:t>
      </w:r>
      <w:r>
        <w:rPr>
          <w:rFonts w:hint="eastAsia" w:ascii="宋体" w:hAnsi="宋体" w:eastAsia="宋体" w:cs="宋体"/>
          <w:sz w:val="24"/>
          <w:szCs w:val="24"/>
          <w:lang w:val="en-US" w:eastAsia="zh-CN"/>
        </w:rPr>
        <w:t>物流</w:t>
      </w:r>
      <w:r>
        <w:rPr>
          <w:rFonts w:hint="eastAsia" w:ascii="宋体" w:hAnsi="宋体" w:eastAsia="宋体" w:cs="宋体"/>
          <w:sz w:val="24"/>
          <w:szCs w:val="24"/>
        </w:rPr>
        <w:t>成本占比=该</w:t>
      </w:r>
      <w:r>
        <w:rPr>
          <w:rFonts w:hint="eastAsia" w:ascii="宋体" w:hAnsi="宋体" w:eastAsia="宋体" w:cs="宋体"/>
          <w:sz w:val="24"/>
          <w:szCs w:val="24"/>
          <w:lang w:val="en-US" w:eastAsia="zh-CN"/>
        </w:rPr>
        <w:t>物流</w:t>
      </w:r>
      <w:r>
        <w:rPr>
          <w:rFonts w:hint="eastAsia" w:ascii="宋体" w:hAnsi="宋体" w:eastAsia="宋体" w:cs="宋体"/>
          <w:sz w:val="24"/>
          <w:szCs w:val="24"/>
        </w:rPr>
        <w:t>环节总费用/总物流成本×100%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核心价值是反映</w:t>
      </w:r>
      <w:r>
        <w:rPr>
          <w:rFonts w:hint="eastAsia" w:ascii="宋体" w:hAnsi="宋体" w:eastAsia="宋体" w:cs="宋体"/>
          <w:sz w:val="24"/>
          <w:szCs w:val="24"/>
        </w:rPr>
        <w:t>各环节物流成本占总物流成本的比例，</w:t>
      </w:r>
      <w:r>
        <w:rPr>
          <w:rFonts w:hint="eastAsia" w:ascii="宋体" w:hAnsi="宋体" w:eastAsia="宋体" w:cs="宋体"/>
          <w:sz w:val="24"/>
          <w:szCs w:val="24"/>
          <w:lang w:val="en-US" w:eastAsia="zh-CN"/>
        </w:rPr>
        <w:t>通过</w:t>
      </w:r>
      <w:r>
        <w:rPr>
          <w:rFonts w:hint="eastAsia" w:ascii="宋体" w:hAnsi="宋体" w:eastAsia="宋体" w:cs="宋体"/>
          <w:sz w:val="24"/>
          <w:szCs w:val="24"/>
        </w:rPr>
        <w:t>运输成本、仓储分拣成本、包装成本、末端配送</w:t>
      </w:r>
      <w:r>
        <w:rPr>
          <w:rFonts w:hint="eastAsia" w:ascii="宋体" w:hAnsi="宋体" w:eastAsia="宋体" w:cs="宋体"/>
          <w:sz w:val="24"/>
          <w:szCs w:val="24"/>
          <w:lang w:val="en-US" w:eastAsia="zh-CN"/>
        </w:rPr>
        <w:t>成本的占比分析，识别高成本环节，</w:t>
      </w:r>
      <w:r>
        <w:rPr>
          <w:rFonts w:hint="eastAsia" w:ascii="宋体" w:hAnsi="宋体" w:eastAsia="宋体" w:cs="宋体"/>
          <w:sz w:val="24"/>
          <w:szCs w:val="24"/>
        </w:rPr>
        <w:t>如运输成本占比超60%，可通过优化运输路线、整合订单批量运输降低成本。</w:t>
      </w:r>
    </w:p>
    <w:p w14:paraId="77643AC9">
      <w:pPr>
        <w:pStyle w:val="18"/>
        <w:spacing w:line="360" w:lineRule="auto"/>
        <w:ind w:firstLine="480" w:firstLineChars="200"/>
        <w:rPr>
          <w:rFonts w:hint="eastAsia" w:ascii="宋体" w:hAnsi="宋体" w:eastAsia="宋体" w:cs="宋体"/>
          <w:sz w:val="24"/>
          <w:szCs w:val="24"/>
        </w:rPr>
      </w:pPr>
      <w:r>
        <w:rPr>
          <w:rFonts w:hint="eastAsia" w:ascii="Times New Roman" w:hAnsi="Times New Roman" w:eastAsiaTheme="minorEastAsia" w:cstheme="minorEastAsia"/>
          <w:sz w:val="24"/>
          <w:szCs w:val="24"/>
          <w:lang w:val="en-US" w:eastAsia="zh-CN"/>
        </w:rPr>
        <mc:AlternateContent>
          <mc:Choice Requires="wps">
            <w:drawing>
              <wp:anchor distT="0" distB="0" distL="114300" distR="114300" simplePos="0" relativeHeight="251659264" behindDoc="0" locked="0" layoutInCell="1" allowOverlap="1">
                <wp:simplePos x="0" y="0"/>
                <wp:positionH relativeFrom="column">
                  <wp:posOffset>-175260</wp:posOffset>
                </wp:positionH>
                <wp:positionV relativeFrom="paragraph">
                  <wp:posOffset>269240</wp:posOffset>
                </wp:positionV>
                <wp:extent cx="6047740" cy="3371215"/>
                <wp:effectExtent l="12700" t="12700" r="16510" b="26035"/>
                <wp:wrapNone/>
                <wp:docPr id="1" name="圆角矩形 1"/>
                <wp:cNvGraphicFramePr/>
                <a:graphic xmlns:a="http://schemas.openxmlformats.org/drawingml/2006/main">
                  <a:graphicData uri="http://schemas.microsoft.com/office/word/2010/wordprocessingShape">
                    <wps:wsp>
                      <wps:cNvSpPr/>
                      <wps:spPr>
                        <a:xfrm>
                          <a:off x="0" y="0"/>
                          <a:ext cx="6047740" cy="3371215"/>
                        </a:xfrm>
                        <a:prstGeom prst="roundRect">
                          <a:avLst>
                            <a:gd name="adj" fmla="val 6844"/>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8pt;margin-top:21.2pt;height:265.45pt;width:476.2pt;z-index:251659264;v-text-anchor:middle;mso-width-relative:page;mso-height-relative:page;" filled="f" stroked="t" coordsize="21600,21600" arcsize="0.0684259259259259" o:gfxdata="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dbZPadoAAAAKAQAADwAA&#10;AAAAAAABACAAAAAiAAAAZHJzL2Rvd25yZXYueG1sUEsBAhQAFAAAAAgAh07iQP9kapOGAgAA6wQA&#10;AA4AAAAAAAAAAQAgAAAAKQEAAGRycy9lMm9Eb2MueG1sUEsFBgAAAAAGAAYAWQEAACEGAAAAAA==&#10;">
                <v:fill on="f" focussize="0,0"/>
                <v:stroke weight="2pt" color="#4F81BD [3204]" joinstyle="round"/>
                <v:imagedata o:title=""/>
                <o:lock v:ext="edit" aspectratio="f"/>
              </v:roundrect>
            </w:pict>
          </mc:Fallback>
        </mc:AlternateContent>
      </w:r>
    </w:p>
    <w:p w14:paraId="2647C70B">
      <w:pPr>
        <w:pStyle w:val="18"/>
        <w:spacing w:line="360" w:lineRule="auto"/>
        <w:jc w:val="center"/>
        <w:rPr>
          <w:rFonts w:hint="eastAsia" w:ascii="宋体" w:hAnsi="宋体" w:eastAsia="宋体" w:cs="宋体"/>
          <w:b/>
          <w:bCs/>
          <w:sz w:val="24"/>
          <w:szCs w:val="24"/>
        </w:rPr>
      </w:pPr>
      <w:r>
        <w:rPr>
          <w:rFonts w:hint="eastAsia" w:ascii="宋体" w:hAnsi="宋体" w:eastAsia="宋体" w:cs="宋体"/>
          <w:b/>
          <w:bCs/>
          <w:sz w:val="24"/>
          <w:szCs w:val="24"/>
        </w:rPr>
        <w:t>【AI助训】指测闯关</w:t>
      </w:r>
    </w:p>
    <w:p w14:paraId="3C359D41">
      <w:pPr>
        <w:pStyle w:val="18"/>
        <w:spacing w:line="360" w:lineRule="auto"/>
        <w:ind w:firstLine="480" w:firstLineChars="200"/>
        <w:rPr>
          <w:rFonts w:hint="eastAsia" w:ascii="宋体" w:hAnsi="宋体" w:eastAsia="宋体" w:cs="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4239895</wp:posOffset>
                </wp:positionH>
                <wp:positionV relativeFrom="paragraph">
                  <wp:posOffset>148590</wp:posOffset>
                </wp:positionV>
                <wp:extent cx="1129030" cy="959485"/>
                <wp:effectExtent l="12700" t="12700" r="20320" b="18415"/>
                <wp:wrapNone/>
                <wp:docPr id="3" name="矩形 3"/>
                <wp:cNvGraphicFramePr/>
                <a:graphic xmlns:a="http://schemas.openxmlformats.org/drawingml/2006/main">
                  <a:graphicData uri="http://schemas.microsoft.com/office/word/2010/wordprocessingShape">
                    <wps:wsp>
                      <wps:cNvSpPr/>
                      <wps:spPr>
                        <a:xfrm>
                          <a:off x="5154295" y="4111625"/>
                          <a:ext cx="1129030" cy="95948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3.85pt;margin-top:11.7pt;height:75.55pt;width:88.9pt;z-index:251660288;v-text-anchor:middle;mso-width-relative:page;mso-height-relative:page;" fillcolor="#4F81BD [3204]" filled="t" stroked="t" coordsize="21600,21600" o:gfxdata="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vRl4XaAAAACgEAAA8A&#10;AAAAAAAAAQAgAAAAIgAAAGRycy9kb3ducmV2LnhtbFBLAQIUABQAAAAIAIdO4kDv7ZCIhwIAAAsF&#10;AAAOAAAAAAAAAAEAIAAAACkBAABkcnMvZTJvRG9jLnhtbFBLBQYAAAAABgAGAFkBAAAiBgAAAAA=&#10;">
                <v:fill on="t" focussize="0,0"/>
                <v:stroke weight="2pt" color="#376092 [2404]" joinstyle="round"/>
                <v:imagedata o:title=""/>
                <o:lock v:ext="edit" aspectratio="f"/>
              </v:rect>
            </w:pict>
          </mc:Fallback>
        </mc:AlternateContent>
      </w:r>
      <w:r>
        <w:rPr>
          <w:rFonts w:hint="eastAsia" w:ascii="宋体" w:hAnsi="宋体" w:eastAsia="宋体" w:cs="宋体"/>
          <w:sz w:val="24"/>
          <w:szCs w:val="24"/>
        </w:rPr>
        <w:t>想快速检验自己对物流核心指标的</w:t>
      </w:r>
      <w:r>
        <w:rPr>
          <w:rFonts w:hint="eastAsia" w:ascii="宋体" w:hAnsi="宋体" w:eastAsia="宋体" w:cs="宋体"/>
          <w:sz w:val="24"/>
          <w:szCs w:val="24"/>
          <w:lang w:val="en-US" w:eastAsia="zh-CN"/>
        </w:rPr>
        <w:t>真实</w:t>
      </w:r>
      <w:r>
        <w:rPr>
          <w:rFonts w:hint="eastAsia" w:ascii="宋体" w:hAnsi="宋体" w:eastAsia="宋体" w:cs="宋体"/>
          <w:sz w:val="24"/>
          <w:szCs w:val="24"/>
        </w:rPr>
        <w:t>掌握程度吗？</w:t>
      </w:r>
    </w:p>
    <w:p w14:paraId="3A2CC43D">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快来完成以下闯关题，你就能：</w:t>
      </w:r>
    </w:p>
    <w:p w14:paraId="74205F3B">
      <w:pPr>
        <w:pStyle w:val="18"/>
        <w:numPr>
          <w:ilvl w:val="0"/>
          <w:numId w:val="0"/>
        </w:numPr>
        <w:spacing w:line="360" w:lineRule="auto"/>
        <w:ind w:leftChars="0" w:firstLine="420" w:firstLineChars="200"/>
        <w:rPr>
          <w:rFonts w:hint="eastAsia" w:ascii="宋体" w:hAnsi="宋体" w:eastAsia="宋体" w:cs="宋体"/>
          <w:sz w:val="24"/>
          <w:szCs w:val="24"/>
        </w:rPr>
      </w:pPr>
      <w:r>
        <w:rPr>
          <w:rFonts w:hint="eastAsia" w:ascii="宋体" w:hAnsi="宋体" w:eastAsia="宋体" w:cs="宋体"/>
          <w:b w:val="0"/>
          <w:bCs w:val="0"/>
          <w:i w:val="0"/>
          <w:iCs w:val="0"/>
          <w:caps w:val="0"/>
          <w:color w:val="0F1115"/>
          <w:spacing w:val="0"/>
          <w:sz w:val="21"/>
          <w:szCs w:val="21"/>
          <w:shd w:val="clear" w:fill="FFFFFF"/>
        </w:rPr>
        <w:t>✅ </w:t>
      </w:r>
      <w:r>
        <w:rPr>
          <w:rFonts w:hint="eastAsia" w:ascii="宋体" w:hAnsi="宋体" w:eastAsia="宋体" w:cs="宋体"/>
          <w:sz w:val="24"/>
          <w:szCs w:val="24"/>
        </w:rPr>
        <w:t>清晰诊断对各指标概念的理解是否准确；</w:t>
      </w:r>
    </w:p>
    <w:p w14:paraId="29F6915A">
      <w:pPr>
        <w:pStyle w:val="18"/>
        <w:spacing w:line="360" w:lineRule="auto"/>
        <w:ind w:firstLine="420" w:firstLineChars="200"/>
        <w:rPr>
          <w:rFonts w:hint="eastAsia" w:ascii="宋体" w:hAnsi="宋体" w:eastAsia="宋体" w:cs="宋体"/>
          <w:sz w:val="24"/>
          <w:szCs w:val="24"/>
        </w:rPr>
      </w:pPr>
      <w:r>
        <w:rPr>
          <w:rFonts w:hint="eastAsia" w:ascii="宋体" w:hAnsi="宋体" w:eastAsia="宋体" w:cs="宋体"/>
          <w:b w:val="0"/>
          <w:bCs w:val="0"/>
          <w:i w:val="0"/>
          <w:iCs w:val="0"/>
          <w:caps w:val="0"/>
          <w:color w:val="0F1115"/>
          <w:spacing w:val="0"/>
          <w:sz w:val="21"/>
          <w:szCs w:val="21"/>
          <w:shd w:val="clear" w:fill="FFFFFF"/>
        </w:rPr>
        <w:t>✅ </w:t>
      </w:r>
      <w:r>
        <w:rPr>
          <w:rFonts w:hint="eastAsia" w:ascii="宋体" w:hAnsi="宋体" w:eastAsia="宋体" w:cs="宋体"/>
          <w:sz w:val="24"/>
          <w:szCs w:val="24"/>
        </w:rPr>
        <w:t>精准评估计算能力与公式运用水平；</w:t>
      </w:r>
    </w:p>
    <w:p w14:paraId="65350716">
      <w:pPr>
        <w:pStyle w:val="18"/>
        <w:spacing w:line="360" w:lineRule="auto"/>
        <w:ind w:firstLine="420" w:firstLineChars="200"/>
        <w:rPr>
          <w:rFonts w:hint="eastAsia" w:ascii="宋体" w:hAnsi="宋体" w:eastAsia="宋体" w:cs="宋体"/>
          <w:sz w:val="24"/>
          <w:szCs w:val="24"/>
        </w:rPr>
      </w:pPr>
      <w:r>
        <w:rPr>
          <w:rFonts w:hint="eastAsia" w:ascii="宋体" w:hAnsi="宋体" w:eastAsia="宋体" w:cs="宋体"/>
          <w:b w:val="0"/>
          <w:bCs w:val="0"/>
          <w:i w:val="0"/>
          <w:iCs w:val="0"/>
          <w:caps w:val="0"/>
          <w:color w:val="0F1115"/>
          <w:spacing w:val="0"/>
          <w:sz w:val="21"/>
          <w:szCs w:val="21"/>
          <w:shd w:val="clear" w:fill="FFFFFF"/>
        </w:rPr>
        <w:t>✅ </w:t>
      </w:r>
      <w:r>
        <w:rPr>
          <w:rFonts w:hint="eastAsia" w:ascii="宋体" w:hAnsi="宋体" w:eastAsia="宋体" w:cs="宋体"/>
          <w:sz w:val="24"/>
          <w:szCs w:val="24"/>
        </w:rPr>
        <w:t>真实检验在业务场景中活用指标解决问题的能力。</w:t>
      </w:r>
    </w:p>
    <w:p w14:paraId="467899C1">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无论你是想学后即时巩固、考前查漏补缺，还是随时自我挑战，这个闯关之旅都能帮助你高效定位薄弱环节，实现针对性提升。</w:t>
      </w:r>
    </w:p>
    <w:p w14:paraId="1C2F6C66">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现在就扫码，用实战检验你的学习成果吧。</w:t>
      </w:r>
    </w:p>
    <w:p w14:paraId="67B969BB">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3"/>
          <w:rFonts w:hint="eastAsia" w:ascii="宋体" w:hAnsi="宋体" w:eastAsia="宋体" w:cs="宋体"/>
          <w:b/>
          <w:kern w:val="0"/>
          <w:sz w:val="24"/>
          <w:szCs w:val="24"/>
          <w:lang w:val="en-US" w:eastAsia="zh-CN" w:bidi="ar"/>
        </w:rPr>
      </w:pPr>
    </w:p>
    <w:p w14:paraId="30C7F51E">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3"/>
          <w:rFonts w:hint="eastAsia" w:ascii="宋体" w:hAnsi="宋体" w:eastAsia="宋体" w:cs="宋体"/>
          <w:b/>
          <w:kern w:val="0"/>
          <w:sz w:val="24"/>
          <w:szCs w:val="24"/>
          <w:lang w:val="en-US" w:eastAsia="zh-CN" w:bidi="ar"/>
        </w:rPr>
      </w:pPr>
    </w:p>
    <w:p w14:paraId="5975782D">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3"/>
          <w:rFonts w:hint="eastAsia" w:ascii="宋体" w:hAnsi="宋体" w:eastAsia="宋体" w:cs="宋体"/>
          <w:b/>
          <w:kern w:val="0"/>
          <w:sz w:val="24"/>
          <w:szCs w:val="24"/>
          <w:lang w:val="en-US" w:eastAsia="zh-CN" w:bidi="ar"/>
        </w:rPr>
      </w:pPr>
    </w:p>
    <w:p w14:paraId="007E56B0">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3"/>
          <w:rFonts w:hint="eastAsia" w:ascii="宋体" w:hAnsi="宋体" w:eastAsia="宋体" w:cs="宋体"/>
          <w:b/>
          <w:kern w:val="0"/>
          <w:sz w:val="24"/>
          <w:szCs w:val="24"/>
          <w:lang w:val="en-US" w:eastAsia="zh-CN" w:bidi="ar"/>
        </w:rPr>
      </w:pPr>
    </w:p>
    <w:p w14:paraId="3B86BDAC">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3"/>
          <w:rFonts w:hint="eastAsia" w:ascii="宋体" w:hAnsi="宋体" w:eastAsia="宋体" w:cs="宋体"/>
          <w:b/>
          <w:kern w:val="0"/>
          <w:sz w:val="24"/>
          <w:szCs w:val="24"/>
          <w:lang w:val="en-US" w:eastAsia="zh-CN" w:bidi="ar"/>
        </w:rPr>
      </w:pPr>
    </w:p>
    <w:p w14:paraId="1E2BA312">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3"/>
          <w:rFonts w:hint="eastAsia" w:ascii="宋体" w:hAnsi="宋体" w:eastAsia="宋体" w:cs="宋体"/>
          <w:b/>
          <w:kern w:val="0"/>
          <w:sz w:val="24"/>
          <w:szCs w:val="24"/>
          <w:lang w:val="en-US" w:eastAsia="zh-CN" w:bidi="ar"/>
        </w:rPr>
      </w:pPr>
    </w:p>
    <w:p w14:paraId="4F546602">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3"/>
          <w:rFonts w:hint="eastAsia" w:ascii="宋体" w:hAnsi="宋体" w:eastAsia="宋体" w:cs="宋体"/>
          <w:b/>
          <w:kern w:val="0"/>
          <w:sz w:val="24"/>
          <w:szCs w:val="24"/>
          <w:lang w:val="en-US" w:eastAsia="zh-CN" w:bidi="ar"/>
        </w:rPr>
      </w:pPr>
    </w:p>
    <w:p w14:paraId="5EA01E36">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3"/>
          <w:rFonts w:hint="eastAsia" w:ascii="宋体" w:hAnsi="宋体" w:eastAsia="宋体" w:cs="宋体"/>
          <w:b/>
          <w:kern w:val="0"/>
          <w:sz w:val="24"/>
          <w:szCs w:val="24"/>
          <w:lang w:val="en-US" w:eastAsia="zh-CN" w:bidi="ar"/>
        </w:rPr>
      </w:pPr>
    </w:p>
    <w:p w14:paraId="730357E3">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3"/>
          <w:rFonts w:hint="eastAsia" w:ascii="宋体" w:hAnsi="宋体" w:eastAsia="宋体" w:cs="宋体"/>
          <w:b/>
          <w:kern w:val="0"/>
          <w:sz w:val="24"/>
          <w:szCs w:val="24"/>
          <w:lang w:val="en-US" w:eastAsia="zh-CN" w:bidi="ar"/>
        </w:rPr>
      </w:pPr>
    </w:p>
    <w:p w14:paraId="764F5038">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3"/>
          <w:rFonts w:hint="eastAsia" w:ascii="宋体" w:hAnsi="宋体" w:eastAsia="宋体" w:cs="宋体"/>
          <w:b/>
          <w:kern w:val="0"/>
          <w:sz w:val="24"/>
          <w:szCs w:val="24"/>
          <w:lang w:val="en-US" w:eastAsia="zh-CN" w:bidi="ar"/>
        </w:rPr>
      </w:pPr>
      <w:r>
        <w:rPr>
          <w:rStyle w:val="13"/>
          <w:rFonts w:hint="eastAsia" w:ascii="宋体" w:hAnsi="宋体" w:eastAsia="宋体" w:cs="宋体"/>
          <w:b/>
          <w:kern w:val="0"/>
          <w:sz w:val="24"/>
          <w:szCs w:val="24"/>
          <w:lang w:val="en-US" w:eastAsia="zh-CN" w:bidi="ar"/>
        </w:rPr>
        <w:t>【指标速记】物流履约数据汇总</w:t>
      </w:r>
    </w:p>
    <w:p w14:paraId="0C0DAAF3">
      <w:pPr>
        <w:spacing w:line="360" w:lineRule="auto"/>
        <w:ind w:firstLine="420"/>
        <w:rPr>
          <w:rFonts w:ascii="宋体" w:hAnsi="宋体" w:eastAsia="宋体" w:cs="宋体"/>
          <w:kern w:val="2"/>
          <w:sz w:val="21"/>
          <w:szCs w:val="21"/>
          <w:lang w:val="en-US" w:eastAsia="zh-CN" w:bidi="ar-SA"/>
        </w:rPr>
      </w:pPr>
      <w:r>
        <w:rPr>
          <w:rStyle w:val="13"/>
          <w:rFonts w:hint="eastAsia" w:ascii="宋体" w:hAnsi="宋体" w:eastAsia="宋体" w:cs="宋体"/>
          <w:b/>
          <w:kern w:val="0"/>
          <w:sz w:val="24"/>
          <w:szCs w:val="24"/>
          <w:lang w:val="en-US" w:eastAsia="zh-CN" w:bidi="ar"/>
        </w:rPr>
        <mc:AlternateContent>
          <mc:Choice Requires="wps">
            <w:drawing>
              <wp:anchor distT="0" distB="0" distL="114300" distR="114300" simplePos="0" relativeHeight="251661312" behindDoc="0" locked="0" layoutInCell="1" allowOverlap="1">
                <wp:simplePos x="0" y="0"/>
                <wp:positionH relativeFrom="column">
                  <wp:posOffset>-54610</wp:posOffset>
                </wp:positionH>
                <wp:positionV relativeFrom="paragraph">
                  <wp:posOffset>127000</wp:posOffset>
                </wp:positionV>
                <wp:extent cx="5891530" cy="5307330"/>
                <wp:effectExtent l="12700" t="12700" r="20320" b="13970"/>
                <wp:wrapNone/>
                <wp:docPr id="36" name="圆角矩形 36"/>
                <wp:cNvGraphicFramePr/>
                <a:graphic xmlns:a="http://schemas.openxmlformats.org/drawingml/2006/main">
                  <a:graphicData uri="http://schemas.microsoft.com/office/word/2010/wordprocessingShape">
                    <wps:wsp>
                      <wps:cNvSpPr/>
                      <wps:spPr>
                        <a:xfrm>
                          <a:off x="0" y="0"/>
                          <a:ext cx="5891530" cy="530733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3pt;margin-top:10pt;height:417.9pt;width:463.9pt;z-index:251661312;v-text-anchor:middle;mso-width-relative:page;mso-height-relative:page;" filled="f" stroked="t" coordsize="21600,21600" arcsize="0.0447685185185185" o:gfxdata="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xE3yfXAAAACQEAAA8AAAAA&#10;AAAAAQAgAAAAIgAAAGRycy9kb3ducmV2LnhtbFBLAQIUABQAAAAIAIdO4kAV1TVYhwIAAO0EAAAO&#10;AAAAAAAAAAEAIAAAACYBAABkcnMvZTJvRG9jLnhtbFBLBQYAAAAABgAGAFkBAAAfBgAAAAA=&#10;">
                <v:fill on="f" focussize="0,0"/>
                <v:stroke weight="2pt" color="#4F81BD [3204]" joinstyle="round"/>
                <v:imagedata o:title=""/>
                <o:lock v:ext="edit" aspectratio="f"/>
              </v:roundrect>
            </w:pict>
          </mc:Fallback>
        </mc:AlternateContent>
      </w:r>
    </w:p>
    <w:p w14:paraId="523FC27F">
      <w:pPr>
        <w:spacing w:line="360" w:lineRule="auto"/>
        <w:ind w:firstLine="420"/>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送货速度</w:t>
      </w:r>
      <w:r>
        <w:rPr>
          <w:rFonts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服务质量</w:t>
      </w:r>
      <w:r>
        <w:rPr>
          <w:rFonts w:ascii="宋体" w:hAnsi="宋体" w:eastAsia="宋体" w:cs="宋体"/>
          <w:kern w:val="2"/>
          <w:sz w:val="21"/>
          <w:szCs w:val="21"/>
          <w:lang w:val="en-US" w:eastAsia="zh-CN" w:bidi="ar-SA"/>
        </w:rPr>
        <w:t>、</w:t>
      </w:r>
      <w:r>
        <w:rPr>
          <w:rFonts w:hint="eastAsia" w:ascii="宋体" w:hAnsi="宋体" w:eastAsia="宋体" w:cs="宋体"/>
          <w:kern w:val="2"/>
          <w:sz w:val="21"/>
          <w:szCs w:val="21"/>
          <w:lang w:val="en-US" w:eastAsia="zh-CN" w:bidi="ar-SA"/>
        </w:rPr>
        <w:t>物流成本三</w:t>
      </w:r>
      <w:r>
        <w:rPr>
          <w:rFonts w:ascii="宋体" w:hAnsi="宋体" w:eastAsia="宋体" w:cs="宋体"/>
          <w:kern w:val="2"/>
          <w:sz w:val="21"/>
          <w:szCs w:val="21"/>
          <w:lang w:val="en-US" w:eastAsia="zh-CN" w:bidi="ar-SA"/>
        </w:rPr>
        <w:t>大层级指标构成了</w:t>
      </w:r>
      <w:r>
        <w:rPr>
          <w:rFonts w:hint="eastAsia" w:ascii="宋体" w:hAnsi="宋体" w:eastAsia="宋体" w:cs="宋体"/>
          <w:kern w:val="2"/>
          <w:sz w:val="21"/>
          <w:szCs w:val="21"/>
          <w:lang w:val="en-US" w:eastAsia="zh-CN" w:bidi="ar-SA"/>
        </w:rPr>
        <w:t>物流履约</w:t>
      </w:r>
      <w:r>
        <w:rPr>
          <w:rFonts w:ascii="宋体" w:hAnsi="宋体" w:eastAsia="宋体" w:cs="宋体"/>
          <w:kern w:val="2"/>
          <w:sz w:val="21"/>
          <w:szCs w:val="21"/>
          <w:lang w:val="en-US" w:eastAsia="zh-CN" w:bidi="ar-SA"/>
        </w:rPr>
        <w:t>数据分析的核心体系，为清晰呈现各指标核心信息，方便快速查阅与应用，现将其汇总如表</w:t>
      </w:r>
      <w:r>
        <w:rPr>
          <w:rFonts w:hint="eastAsia" w:ascii="宋体" w:hAnsi="宋体" w:eastAsia="宋体" w:cs="宋体"/>
          <w:kern w:val="2"/>
          <w:sz w:val="21"/>
          <w:szCs w:val="21"/>
          <w:lang w:val="en-US" w:eastAsia="zh-CN" w:bidi="ar-SA"/>
        </w:rPr>
        <w:t>6-1</w:t>
      </w:r>
      <w:r>
        <w:rPr>
          <w:rFonts w:ascii="宋体" w:hAnsi="宋体" w:eastAsia="宋体" w:cs="宋体"/>
          <w:kern w:val="2"/>
          <w:sz w:val="21"/>
          <w:szCs w:val="21"/>
          <w:lang w:val="en-US" w:eastAsia="zh-CN" w:bidi="ar-SA"/>
        </w:rPr>
        <w:t>所示</w:t>
      </w:r>
      <w:r>
        <w:rPr>
          <w:rFonts w:hint="eastAsia" w:ascii="宋体" w:hAnsi="宋体" w:eastAsia="宋体" w:cs="宋体"/>
          <w:kern w:val="2"/>
          <w:sz w:val="21"/>
          <w:szCs w:val="21"/>
          <w:lang w:val="en-US" w:eastAsia="zh-CN" w:bidi="ar-SA"/>
        </w:rPr>
        <w:t>。</w:t>
      </w:r>
    </w:p>
    <w:p w14:paraId="0E95CD4B">
      <w:pPr>
        <w:pStyle w:val="5"/>
        <w:pageBreakBefore w:val="0"/>
        <w:widowControl w:val="0"/>
        <w:numPr>
          <w:ilvl w:val="0"/>
          <w:numId w:val="0"/>
        </w:numPr>
        <w:kinsoku/>
        <w:wordWrap/>
        <w:overflowPunct/>
        <w:topLinePunct w:val="0"/>
        <w:autoSpaceDE/>
        <w:autoSpaceDN/>
        <w:bidi w:val="0"/>
        <w:adjustRightInd/>
        <w:snapToGrid/>
        <w:spacing w:before="0" w:beforeLines="0" w:after="0" w:afterLines="0"/>
        <w:jc w:val="center"/>
        <w:textAlignment w:val="auto"/>
        <w:rPr>
          <w:rStyle w:val="13"/>
          <w:rFonts w:hint="default" w:ascii="宋体" w:hAnsi="宋体" w:eastAsia="宋体" w:cs="宋体"/>
          <w:b/>
          <w:kern w:val="0"/>
          <w:sz w:val="21"/>
          <w:szCs w:val="21"/>
          <w:lang w:val="en-US" w:eastAsia="zh-CN" w:bidi="ar"/>
        </w:rPr>
      </w:pPr>
      <w:r>
        <w:rPr>
          <w:rStyle w:val="13"/>
          <w:rFonts w:hint="eastAsia" w:ascii="宋体" w:hAnsi="宋体" w:eastAsia="宋体" w:cs="宋体"/>
          <w:b/>
          <w:kern w:val="0"/>
          <w:sz w:val="21"/>
          <w:szCs w:val="21"/>
          <w:lang w:val="en-US" w:eastAsia="zh-CN" w:bidi="ar"/>
        </w:rPr>
        <w:t>表6-1 常用物流核心指标说明</w:t>
      </w:r>
    </w:p>
    <w:tbl>
      <w:tblPr>
        <w:tblStyle w:val="11"/>
        <w:tblW w:w="90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
        <w:gridCol w:w="1462"/>
        <w:gridCol w:w="3096"/>
        <w:gridCol w:w="3411"/>
      </w:tblGrid>
      <w:tr w14:paraId="4E52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2" w:hRule="atLeast"/>
          <w:tblHeader/>
          <w:jc w:val="center"/>
        </w:trPr>
        <w:tc>
          <w:tcPr>
            <w:tcW w:w="0" w:type="auto"/>
            <w:tcMar>
              <w:top w:w="60" w:type="dxa"/>
              <w:left w:w="120" w:type="dxa"/>
              <w:bottom w:w="30" w:type="dxa"/>
              <w:right w:w="120" w:type="dxa"/>
            </w:tcMar>
            <w:vAlign w:val="center"/>
          </w:tcPr>
          <w:p w14:paraId="577897A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指标层级</w:t>
            </w:r>
          </w:p>
        </w:tc>
        <w:tc>
          <w:tcPr>
            <w:tcW w:w="1462" w:type="dxa"/>
            <w:tcMar>
              <w:top w:w="60" w:type="dxa"/>
              <w:left w:w="120" w:type="dxa"/>
              <w:bottom w:w="30" w:type="dxa"/>
              <w:right w:w="120" w:type="dxa"/>
            </w:tcMar>
            <w:vAlign w:val="center"/>
          </w:tcPr>
          <w:p w14:paraId="7621A16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指标名称</w:t>
            </w:r>
          </w:p>
        </w:tc>
        <w:tc>
          <w:tcPr>
            <w:tcW w:w="3096" w:type="dxa"/>
            <w:tcMar>
              <w:top w:w="60" w:type="dxa"/>
              <w:left w:w="120" w:type="dxa"/>
              <w:bottom w:w="30" w:type="dxa"/>
              <w:right w:w="120" w:type="dxa"/>
            </w:tcMar>
            <w:vAlign w:val="center"/>
          </w:tcPr>
          <w:p w14:paraId="72BC5F6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lang w:eastAsia="zh-CN"/>
              </w:rPr>
            </w:pPr>
            <w:r>
              <w:rPr>
                <w:rFonts w:hint="eastAsia" w:asciiTheme="minorEastAsia" w:hAnsiTheme="minorEastAsia" w:cstheme="minorEastAsia"/>
                <w:b/>
                <w:sz w:val="18"/>
                <w:szCs w:val="18"/>
                <w:lang w:eastAsia="zh-CN"/>
              </w:rPr>
              <w:t>内涵</w:t>
            </w:r>
          </w:p>
        </w:tc>
        <w:tc>
          <w:tcPr>
            <w:tcW w:w="3411" w:type="dxa"/>
            <w:tcMar>
              <w:top w:w="60" w:type="dxa"/>
              <w:left w:w="120" w:type="dxa"/>
              <w:bottom w:w="30" w:type="dxa"/>
              <w:right w:w="120" w:type="dxa"/>
            </w:tcMar>
            <w:vAlign w:val="center"/>
          </w:tcPr>
          <w:p w14:paraId="2C0ADFB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lang w:eastAsia="zh-CN"/>
              </w:rPr>
            </w:pPr>
            <w:r>
              <w:rPr>
                <w:rFonts w:hint="eastAsia" w:asciiTheme="minorEastAsia" w:hAnsiTheme="minorEastAsia" w:cstheme="minorEastAsia"/>
                <w:b/>
                <w:sz w:val="18"/>
                <w:szCs w:val="18"/>
                <w:lang w:eastAsia="zh-CN"/>
              </w:rPr>
              <w:t>计算应用</w:t>
            </w:r>
          </w:p>
        </w:tc>
      </w:tr>
      <w:tr w14:paraId="7CED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0" w:hRule="atLeast"/>
          <w:jc w:val="center"/>
        </w:trPr>
        <w:tc>
          <w:tcPr>
            <w:tcW w:w="0" w:type="auto"/>
            <w:vMerge w:val="restart"/>
            <w:tcMar>
              <w:top w:w="60" w:type="dxa"/>
              <w:left w:w="120" w:type="dxa"/>
              <w:bottom w:w="30" w:type="dxa"/>
              <w:right w:w="120" w:type="dxa"/>
            </w:tcMar>
            <w:vAlign w:val="center"/>
          </w:tcPr>
          <w:p w14:paraId="7555486C">
            <w:pPr>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送货速度指标</w:t>
            </w:r>
          </w:p>
        </w:tc>
        <w:tc>
          <w:tcPr>
            <w:tcW w:w="1462" w:type="dxa"/>
            <w:tcMar>
              <w:top w:w="60" w:type="dxa"/>
              <w:left w:w="120" w:type="dxa"/>
              <w:bottom w:w="30" w:type="dxa"/>
              <w:right w:w="120" w:type="dxa"/>
            </w:tcMar>
            <w:vAlign w:val="center"/>
          </w:tcPr>
          <w:p w14:paraId="10C97E7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平均送货时间（ADT）</w:t>
            </w:r>
          </w:p>
        </w:tc>
        <w:tc>
          <w:tcPr>
            <w:tcW w:w="3096" w:type="dxa"/>
            <w:tcMar>
              <w:top w:w="60" w:type="dxa"/>
              <w:left w:w="120" w:type="dxa"/>
              <w:bottom w:w="30" w:type="dxa"/>
              <w:right w:w="120" w:type="dxa"/>
            </w:tcMar>
            <w:vAlign w:val="center"/>
          </w:tcPr>
          <w:p w14:paraId="0A9477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从下单到确认收货的平均时长，反映物流全链路整体效率</w:t>
            </w:r>
            <w:r>
              <w:rPr>
                <w:rFonts w:hint="eastAsia" w:asciiTheme="minorEastAsia" w:hAnsiTheme="minorEastAsia" w:cstheme="minorEastAsia"/>
                <w:sz w:val="18"/>
                <w:szCs w:val="18"/>
                <w:lang w:eastAsia="zh-CN"/>
              </w:rPr>
              <w:t>。</w:t>
            </w:r>
          </w:p>
        </w:tc>
        <w:tc>
          <w:tcPr>
            <w:tcW w:w="3411" w:type="dxa"/>
            <w:tcMar>
              <w:top w:w="60" w:type="dxa"/>
              <w:left w:w="120" w:type="dxa"/>
              <w:bottom w:w="30" w:type="dxa"/>
              <w:right w:w="120" w:type="dxa"/>
            </w:tcMar>
            <w:vAlign w:val="center"/>
          </w:tcPr>
          <w:p w14:paraId="754A775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∑（每笔订单的签收时间-下单时间）/总订单数</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行业标杆</w:t>
            </w:r>
            <w:r>
              <w:rPr>
                <w:rFonts w:hint="eastAsia" w:asciiTheme="minorEastAsia" w:hAnsiTheme="minorEastAsia" w:cstheme="minorEastAsia"/>
                <w:sz w:val="18"/>
                <w:szCs w:val="18"/>
                <w:lang w:eastAsia="zh-CN"/>
              </w:rPr>
              <w:t>是</w:t>
            </w:r>
            <w:r>
              <w:rPr>
                <w:rFonts w:hint="eastAsia" w:asciiTheme="minorEastAsia" w:hAnsiTheme="minorEastAsia" w:eastAsiaTheme="minorEastAsia" w:cstheme="minorEastAsia"/>
                <w:sz w:val="18"/>
                <w:szCs w:val="18"/>
              </w:rPr>
              <w:t>2-5天</w:t>
            </w:r>
            <w:r>
              <w:rPr>
                <w:rFonts w:hint="eastAsia" w:asciiTheme="minorEastAsia" w:hAnsiTheme="minorEastAsia" w:cstheme="minorEastAsia"/>
                <w:sz w:val="18"/>
                <w:szCs w:val="18"/>
                <w:lang w:eastAsia="zh-CN"/>
              </w:rPr>
              <w:t>。</w:t>
            </w:r>
          </w:p>
        </w:tc>
      </w:tr>
      <w:tr w14:paraId="0535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5" w:hRule="atLeast"/>
          <w:jc w:val="center"/>
        </w:trPr>
        <w:tc>
          <w:tcPr>
            <w:tcW w:w="0" w:type="auto"/>
            <w:vMerge w:val="continue"/>
            <w:tcMar>
              <w:top w:w="60" w:type="dxa"/>
              <w:left w:w="120" w:type="dxa"/>
              <w:bottom w:w="30" w:type="dxa"/>
              <w:right w:w="120" w:type="dxa"/>
            </w:tcMar>
            <w:vAlign w:val="center"/>
          </w:tcPr>
          <w:p w14:paraId="1A25E1C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62" w:type="dxa"/>
            <w:tcMar>
              <w:top w:w="60" w:type="dxa"/>
              <w:left w:w="120" w:type="dxa"/>
              <w:bottom w:w="30" w:type="dxa"/>
              <w:right w:w="120" w:type="dxa"/>
            </w:tcMar>
            <w:vAlign w:val="center"/>
          </w:tcPr>
          <w:p w14:paraId="0FB85B2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准时送达率（OTDR）</w:t>
            </w:r>
          </w:p>
        </w:tc>
        <w:tc>
          <w:tcPr>
            <w:tcW w:w="3096" w:type="dxa"/>
            <w:tcMar>
              <w:top w:w="60" w:type="dxa"/>
              <w:left w:w="120" w:type="dxa"/>
              <w:bottom w:w="30" w:type="dxa"/>
              <w:right w:w="120" w:type="dxa"/>
            </w:tcMar>
            <w:vAlign w:val="center"/>
          </w:tcPr>
          <w:p w14:paraId="349A39D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在承诺时间内成功交付的订单比例，反映履约可靠性</w:t>
            </w:r>
            <w:r>
              <w:rPr>
                <w:rFonts w:hint="eastAsia" w:asciiTheme="minorEastAsia" w:hAnsiTheme="minorEastAsia" w:cstheme="minorEastAsia"/>
                <w:sz w:val="18"/>
                <w:szCs w:val="18"/>
                <w:lang w:eastAsia="zh-CN"/>
              </w:rPr>
              <w:t>。</w:t>
            </w:r>
          </w:p>
        </w:tc>
        <w:tc>
          <w:tcPr>
            <w:tcW w:w="3411" w:type="dxa"/>
            <w:tcMar>
              <w:top w:w="60" w:type="dxa"/>
              <w:left w:w="120" w:type="dxa"/>
              <w:bottom w:w="30" w:type="dxa"/>
              <w:right w:w="120" w:type="dxa"/>
            </w:tcMar>
            <w:vAlign w:val="center"/>
          </w:tcPr>
          <w:p w14:paraId="7336205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承诺时间内签收订单数/总订单数×100%，优秀值95%+</w:t>
            </w:r>
            <w:r>
              <w:rPr>
                <w:rFonts w:hint="eastAsia" w:asciiTheme="minorEastAsia" w:hAnsiTheme="minorEastAsia" w:cstheme="minorEastAsia"/>
                <w:sz w:val="18"/>
                <w:szCs w:val="18"/>
                <w:lang w:eastAsia="zh-CN"/>
              </w:rPr>
              <w:t>。</w:t>
            </w:r>
          </w:p>
        </w:tc>
      </w:tr>
      <w:tr w14:paraId="5156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0" w:hRule="atLeast"/>
          <w:jc w:val="center"/>
        </w:trPr>
        <w:tc>
          <w:tcPr>
            <w:tcW w:w="0" w:type="auto"/>
            <w:vMerge w:val="restart"/>
            <w:tcMar>
              <w:top w:w="60" w:type="dxa"/>
              <w:left w:w="120" w:type="dxa"/>
              <w:bottom w:w="30" w:type="dxa"/>
              <w:right w:w="120" w:type="dxa"/>
            </w:tcMar>
            <w:vAlign w:val="center"/>
          </w:tcPr>
          <w:p w14:paraId="441AF0E6">
            <w:pPr>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服务质量指标</w:t>
            </w:r>
          </w:p>
        </w:tc>
        <w:tc>
          <w:tcPr>
            <w:tcW w:w="1462" w:type="dxa"/>
            <w:tcMar>
              <w:top w:w="60" w:type="dxa"/>
              <w:left w:w="120" w:type="dxa"/>
              <w:bottom w:w="30" w:type="dxa"/>
              <w:right w:w="120" w:type="dxa"/>
            </w:tcMar>
            <w:vAlign w:val="center"/>
          </w:tcPr>
          <w:p w14:paraId="44CC215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包裹完好率（PIR）</w:t>
            </w:r>
          </w:p>
        </w:tc>
        <w:tc>
          <w:tcPr>
            <w:tcW w:w="3096" w:type="dxa"/>
            <w:tcMar>
              <w:top w:w="60" w:type="dxa"/>
              <w:left w:w="120" w:type="dxa"/>
              <w:bottom w:w="30" w:type="dxa"/>
              <w:right w:w="120" w:type="dxa"/>
            </w:tcMar>
            <w:vAlign w:val="center"/>
          </w:tcPr>
          <w:p w14:paraId="7163DB3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商品完好无损送达的订单比例，反映包装和运输质量</w:t>
            </w:r>
            <w:r>
              <w:rPr>
                <w:rFonts w:hint="eastAsia" w:asciiTheme="minorEastAsia" w:hAnsiTheme="minorEastAsia" w:cstheme="minorEastAsia"/>
                <w:sz w:val="18"/>
                <w:szCs w:val="18"/>
                <w:lang w:eastAsia="zh-CN"/>
              </w:rPr>
              <w:t>。</w:t>
            </w:r>
          </w:p>
        </w:tc>
        <w:tc>
          <w:tcPr>
            <w:tcW w:w="3411" w:type="dxa"/>
            <w:tcMar>
              <w:top w:w="60" w:type="dxa"/>
              <w:left w:w="120" w:type="dxa"/>
              <w:bottom w:w="30" w:type="dxa"/>
              <w:right w:w="120" w:type="dxa"/>
            </w:tcMar>
            <w:vAlign w:val="center"/>
          </w:tcPr>
          <w:p w14:paraId="510F295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完好签收订单数/总订单数×100%</w:t>
            </w:r>
            <w:r>
              <w:rPr>
                <w:rFonts w:hint="eastAsia" w:asciiTheme="minorEastAsia" w:hAnsiTheme="minorEastAsia" w:cstheme="minorEastAsia"/>
                <w:sz w:val="18"/>
                <w:szCs w:val="18"/>
                <w:lang w:eastAsia="zh-CN"/>
              </w:rPr>
              <w:t>，优秀值98%+。</w:t>
            </w:r>
          </w:p>
        </w:tc>
      </w:tr>
      <w:tr w14:paraId="46EBB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1" w:hRule="atLeast"/>
          <w:jc w:val="center"/>
        </w:trPr>
        <w:tc>
          <w:tcPr>
            <w:tcW w:w="0" w:type="auto"/>
            <w:vMerge w:val="continue"/>
            <w:tcMar>
              <w:top w:w="60" w:type="dxa"/>
              <w:left w:w="120" w:type="dxa"/>
              <w:bottom w:w="30" w:type="dxa"/>
              <w:right w:w="120" w:type="dxa"/>
            </w:tcMar>
            <w:vAlign w:val="center"/>
          </w:tcPr>
          <w:p w14:paraId="3F998F4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62" w:type="dxa"/>
            <w:tcMar>
              <w:top w:w="60" w:type="dxa"/>
              <w:left w:w="120" w:type="dxa"/>
              <w:bottom w:w="30" w:type="dxa"/>
              <w:right w:w="120" w:type="dxa"/>
            </w:tcMar>
            <w:vAlign w:val="center"/>
          </w:tcPr>
          <w:p w14:paraId="7513590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库存周转率（ITR）</w:t>
            </w:r>
          </w:p>
        </w:tc>
        <w:tc>
          <w:tcPr>
            <w:tcW w:w="3096" w:type="dxa"/>
            <w:tcMar>
              <w:top w:w="60" w:type="dxa"/>
              <w:left w:w="120" w:type="dxa"/>
              <w:bottom w:w="30" w:type="dxa"/>
              <w:right w:w="120" w:type="dxa"/>
            </w:tcMar>
            <w:vAlign w:val="center"/>
          </w:tcPr>
          <w:p w14:paraId="5179B83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统计周期内库存的销售周转次数，衡量商品在仓储环节的流转效率，反映库存积压或缺货情况</w:t>
            </w:r>
            <w:r>
              <w:rPr>
                <w:rFonts w:hint="eastAsia" w:asciiTheme="minorEastAsia" w:hAnsiTheme="minorEastAsia" w:cstheme="minorEastAsia"/>
                <w:sz w:val="18"/>
                <w:szCs w:val="18"/>
                <w:lang w:eastAsia="zh-CN"/>
              </w:rPr>
              <w:t>。</w:t>
            </w:r>
          </w:p>
        </w:tc>
        <w:tc>
          <w:tcPr>
            <w:tcW w:w="3411" w:type="dxa"/>
            <w:tcMar>
              <w:top w:w="60" w:type="dxa"/>
              <w:left w:w="120" w:type="dxa"/>
              <w:bottom w:w="30" w:type="dxa"/>
              <w:right w:w="120" w:type="dxa"/>
            </w:tcMar>
            <w:vAlign w:val="center"/>
          </w:tcPr>
          <w:p w14:paraId="1FDC790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一定时期内的销售成本/同期平均库存余额×100%</w:t>
            </w:r>
            <w:r>
              <w:rPr>
                <w:rFonts w:hint="eastAsia" w:asciiTheme="minorEastAsia" w:hAnsiTheme="minorEastAsia" w:cstheme="minorEastAsia"/>
                <w:sz w:val="18"/>
                <w:szCs w:val="18"/>
                <w:lang w:eastAsia="zh-CN"/>
              </w:rPr>
              <w:t>，</w:t>
            </w:r>
            <w:r>
              <w:rPr>
                <w:rFonts w:hint="eastAsia" w:asciiTheme="minorEastAsia" w:hAnsiTheme="minorEastAsia" w:cstheme="minorEastAsia"/>
                <w:sz w:val="18"/>
                <w:szCs w:val="18"/>
                <w:lang w:val="en-US" w:eastAsia="zh-CN"/>
              </w:rPr>
              <w:t>电商行业</w:t>
            </w:r>
            <w:r>
              <w:rPr>
                <w:rFonts w:hint="eastAsia" w:asciiTheme="minorEastAsia" w:hAnsiTheme="minorEastAsia" w:eastAsiaTheme="minorEastAsia" w:cstheme="minorEastAsia"/>
                <w:sz w:val="18"/>
                <w:szCs w:val="18"/>
              </w:rPr>
              <w:t>健康范围6-12次/年</w:t>
            </w:r>
            <w:r>
              <w:rPr>
                <w:rFonts w:hint="eastAsia" w:asciiTheme="minorEastAsia" w:hAnsiTheme="minorEastAsia" w:cstheme="minorEastAsia"/>
                <w:sz w:val="18"/>
                <w:szCs w:val="18"/>
                <w:lang w:eastAsia="zh-CN"/>
              </w:rPr>
              <w:t>。</w:t>
            </w:r>
          </w:p>
        </w:tc>
      </w:tr>
      <w:tr w14:paraId="364D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1" w:hRule="atLeast"/>
          <w:jc w:val="center"/>
        </w:trPr>
        <w:tc>
          <w:tcPr>
            <w:tcW w:w="0" w:type="auto"/>
            <w:vMerge w:val="restart"/>
            <w:tcMar>
              <w:top w:w="60" w:type="dxa"/>
              <w:left w:w="120" w:type="dxa"/>
              <w:bottom w:w="30" w:type="dxa"/>
              <w:right w:w="120" w:type="dxa"/>
            </w:tcMar>
            <w:vAlign w:val="center"/>
          </w:tcPr>
          <w:p w14:paraId="5CE3B505">
            <w:pPr>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物流成本指标</w:t>
            </w:r>
          </w:p>
        </w:tc>
        <w:tc>
          <w:tcPr>
            <w:tcW w:w="1462" w:type="dxa"/>
            <w:tcMar>
              <w:top w:w="60" w:type="dxa"/>
              <w:left w:w="120" w:type="dxa"/>
              <w:bottom w:w="30" w:type="dxa"/>
              <w:right w:w="120" w:type="dxa"/>
            </w:tcMar>
            <w:vAlign w:val="center"/>
          </w:tcPr>
          <w:p w14:paraId="5E19CA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单位物流成本</w:t>
            </w:r>
          </w:p>
        </w:tc>
        <w:tc>
          <w:tcPr>
            <w:tcW w:w="3096" w:type="dxa"/>
            <w:tcMar>
              <w:top w:w="60" w:type="dxa"/>
              <w:left w:w="120" w:type="dxa"/>
              <w:bottom w:w="30" w:type="dxa"/>
              <w:right w:w="120" w:type="dxa"/>
            </w:tcMar>
            <w:vAlign w:val="center"/>
          </w:tcPr>
          <w:p w14:paraId="5F85E9B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每笔订单平均分摊的物流费用，反映物流成本控制水平</w:t>
            </w:r>
            <w:r>
              <w:rPr>
                <w:rFonts w:hint="eastAsia" w:asciiTheme="minorEastAsia" w:hAnsiTheme="minorEastAsia" w:cstheme="minorEastAsia"/>
                <w:sz w:val="18"/>
                <w:szCs w:val="18"/>
                <w:lang w:eastAsia="zh-CN"/>
              </w:rPr>
              <w:t>。</w:t>
            </w:r>
          </w:p>
        </w:tc>
        <w:tc>
          <w:tcPr>
            <w:tcW w:w="3411" w:type="dxa"/>
            <w:tcMar>
              <w:top w:w="60" w:type="dxa"/>
              <w:left w:w="120" w:type="dxa"/>
              <w:bottom w:w="30" w:type="dxa"/>
              <w:right w:w="120" w:type="dxa"/>
            </w:tcMar>
            <w:vAlign w:val="center"/>
          </w:tcPr>
          <w:p w14:paraId="0B6830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总物流成本/总订单数，需按配送方式/区域、快递公司等拆分</w:t>
            </w:r>
            <w:r>
              <w:rPr>
                <w:rFonts w:hint="eastAsia" w:asciiTheme="minorEastAsia" w:hAnsiTheme="minorEastAsia" w:cstheme="minorEastAsia"/>
                <w:sz w:val="18"/>
                <w:szCs w:val="18"/>
                <w:lang w:val="en-US" w:eastAsia="zh-CN"/>
              </w:rPr>
              <w:t>计算</w:t>
            </w:r>
            <w:r>
              <w:rPr>
                <w:rFonts w:hint="eastAsia" w:asciiTheme="minorEastAsia" w:hAnsiTheme="minorEastAsia" w:cstheme="minorEastAsia"/>
                <w:sz w:val="18"/>
                <w:szCs w:val="18"/>
                <w:lang w:eastAsia="zh-CN"/>
              </w:rPr>
              <w:t>。</w:t>
            </w:r>
          </w:p>
        </w:tc>
      </w:tr>
      <w:tr w14:paraId="7EF5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1" w:hRule="atLeast"/>
          <w:jc w:val="center"/>
        </w:trPr>
        <w:tc>
          <w:tcPr>
            <w:tcW w:w="0" w:type="auto"/>
            <w:vMerge w:val="continue"/>
            <w:tcMar>
              <w:top w:w="60" w:type="dxa"/>
              <w:left w:w="120" w:type="dxa"/>
              <w:bottom w:w="30" w:type="dxa"/>
              <w:right w:w="120" w:type="dxa"/>
            </w:tcMar>
            <w:vAlign w:val="center"/>
          </w:tcPr>
          <w:p w14:paraId="7D9FE2D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62" w:type="dxa"/>
            <w:tcMar>
              <w:top w:w="60" w:type="dxa"/>
              <w:left w:w="120" w:type="dxa"/>
              <w:bottom w:w="30" w:type="dxa"/>
              <w:right w:w="120" w:type="dxa"/>
            </w:tcMar>
            <w:vAlign w:val="center"/>
          </w:tcPr>
          <w:p w14:paraId="312C3D8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退货物流成本</w:t>
            </w:r>
          </w:p>
        </w:tc>
        <w:tc>
          <w:tcPr>
            <w:tcW w:w="3096" w:type="dxa"/>
            <w:tcMar>
              <w:top w:w="60" w:type="dxa"/>
              <w:left w:w="120" w:type="dxa"/>
              <w:bottom w:w="30" w:type="dxa"/>
              <w:right w:w="120" w:type="dxa"/>
            </w:tcMar>
            <w:vAlign w:val="center"/>
          </w:tcPr>
          <w:p w14:paraId="0E2F484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因退换货产生的逆向物流费用总额，反映售后物流成本</w:t>
            </w:r>
            <w:r>
              <w:rPr>
                <w:rFonts w:hint="eastAsia" w:asciiTheme="minorEastAsia" w:hAnsiTheme="minorEastAsia" w:cstheme="minorEastAsia"/>
                <w:sz w:val="18"/>
                <w:szCs w:val="18"/>
                <w:lang w:eastAsia="zh-CN"/>
              </w:rPr>
              <w:t>。</w:t>
            </w:r>
          </w:p>
        </w:tc>
        <w:tc>
          <w:tcPr>
            <w:tcW w:w="3411" w:type="dxa"/>
            <w:tcMar>
              <w:top w:w="60" w:type="dxa"/>
              <w:left w:w="120" w:type="dxa"/>
              <w:bottom w:w="30" w:type="dxa"/>
              <w:right w:w="120" w:type="dxa"/>
            </w:tcMar>
            <w:vAlign w:val="center"/>
          </w:tcPr>
          <w:p w14:paraId="47D723E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退货件数×单件退货物流费用，需区分原因（质量/错发/客户原因）</w:t>
            </w:r>
            <w:r>
              <w:rPr>
                <w:rFonts w:hint="eastAsia" w:asciiTheme="minorEastAsia" w:hAnsiTheme="minorEastAsia" w:cstheme="minorEastAsia"/>
                <w:sz w:val="18"/>
                <w:szCs w:val="18"/>
                <w:lang w:eastAsia="zh-CN"/>
              </w:rPr>
              <w:t>。</w:t>
            </w:r>
          </w:p>
        </w:tc>
      </w:tr>
      <w:tr w14:paraId="5734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2" w:hRule="atLeast"/>
          <w:jc w:val="center"/>
        </w:trPr>
        <w:tc>
          <w:tcPr>
            <w:tcW w:w="0" w:type="auto"/>
            <w:vMerge w:val="continue"/>
            <w:tcMar>
              <w:top w:w="60" w:type="dxa"/>
              <w:left w:w="120" w:type="dxa"/>
              <w:bottom w:w="30" w:type="dxa"/>
              <w:right w:w="120" w:type="dxa"/>
            </w:tcMar>
            <w:vAlign w:val="center"/>
          </w:tcPr>
          <w:p w14:paraId="1CA08B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62" w:type="dxa"/>
            <w:tcMar>
              <w:top w:w="60" w:type="dxa"/>
              <w:left w:w="120" w:type="dxa"/>
              <w:bottom w:w="30" w:type="dxa"/>
              <w:right w:w="120" w:type="dxa"/>
            </w:tcMar>
            <w:vAlign w:val="center"/>
          </w:tcPr>
          <w:p w14:paraId="65E0276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物流成本结构占比</w:t>
            </w:r>
          </w:p>
        </w:tc>
        <w:tc>
          <w:tcPr>
            <w:tcW w:w="3096" w:type="dxa"/>
            <w:tcMar>
              <w:top w:w="60" w:type="dxa"/>
              <w:left w:w="120" w:type="dxa"/>
              <w:bottom w:w="30" w:type="dxa"/>
              <w:right w:w="120" w:type="dxa"/>
            </w:tcMar>
            <w:vAlign w:val="center"/>
          </w:tcPr>
          <w:p w14:paraId="53A21B1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反映各环节物流成本占总物流成本的比例</w:t>
            </w:r>
            <w:r>
              <w:rPr>
                <w:rFonts w:hint="eastAsia" w:asciiTheme="minorEastAsia" w:hAnsiTheme="minorEastAsia" w:cstheme="minorEastAsia"/>
                <w:sz w:val="18"/>
                <w:szCs w:val="18"/>
                <w:lang w:eastAsia="zh-CN"/>
              </w:rPr>
              <w:t>，识别高成本环节。</w:t>
            </w:r>
          </w:p>
        </w:tc>
        <w:tc>
          <w:tcPr>
            <w:tcW w:w="3411" w:type="dxa"/>
            <w:tcMar>
              <w:top w:w="60" w:type="dxa"/>
              <w:left w:w="120" w:type="dxa"/>
              <w:bottom w:w="30" w:type="dxa"/>
              <w:right w:w="120" w:type="dxa"/>
            </w:tcMar>
            <w:vAlign w:val="center"/>
          </w:tcPr>
          <w:p w14:paraId="53F79C3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某环节物流成本占比=该物流环节总费用/总物流成本×100%</w:t>
            </w:r>
            <w:r>
              <w:rPr>
                <w:rFonts w:hint="eastAsia" w:asciiTheme="minorEastAsia" w:hAnsiTheme="minorEastAsia" w:cstheme="minorEastAsia"/>
                <w:sz w:val="18"/>
                <w:szCs w:val="18"/>
                <w:lang w:eastAsia="zh-CN"/>
              </w:rPr>
              <w:t>。</w:t>
            </w:r>
          </w:p>
        </w:tc>
      </w:tr>
    </w:tbl>
    <w:p w14:paraId="0D0E4381">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cs="宋体"/>
          <w:kern w:val="2"/>
          <w:sz w:val="24"/>
          <w:szCs w:val="32"/>
          <w:lang w:val="en-US" w:eastAsia="zh-CN" w:bidi="ar-SA"/>
        </w:rPr>
      </w:pPr>
    </w:p>
    <w:p w14:paraId="3206AB8D">
      <w:pPr>
        <w:pStyle w:val="3"/>
        <w:spacing w:line="360" w:lineRule="auto"/>
        <w:rPr>
          <w:rFonts w:hint="eastAsia" w:ascii="宋体" w:hAnsi="宋体" w:eastAsia="宋体" w:cs="宋体"/>
          <w:sz w:val="24"/>
          <w:szCs w:val="24"/>
        </w:rPr>
      </w:pPr>
      <w:r>
        <w:rPr>
          <w:rFonts w:hint="eastAsia" w:ascii="宋体" w:hAnsi="宋体" w:eastAsia="宋体" w:cs="宋体"/>
          <w:sz w:val="24"/>
          <w:szCs w:val="24"/>
        </w:rPr>
        <w:t>任务6.2 数据规约</w:t>
      </w:r>
    </w:p>
    <w:p w14:paraId="4FDA0D2E">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物流履约数据具</w:t>
      </w:r>
      <w:r>
        <w:rPr>
          <w:rFonts w:hint="eastAsia" w:ascii="宋体" w:hAnsi="宋体" w:eastAsia="宋体" w:cs="宋体"/>
          <w:b w:val="0"/>
          <w:bCs w:val="0"/>
          <w:sz w:val="24"/>
          <w:szCs w:val="24"/>
        </w:rPr>
        <w:t>有来源</w:t>
      </w:r>
      <w:r>
        <w:rPr>
          <w:rFonts w:hint="eastAsia" w:ascii="宋体" w:hAnsi="宋体" w:eastAsia="宋体" w:cs="宋体"/>
          <w:b w:val="0"/>
          <w:bCs w:val="0"/>
          <w:sz w:val="24"/>
          <w:szCs w:val="24"/>
          <w:lang w:val="en-US" w:eastAsia="zh-CN"/>
        </w:rPr>
        <w:t>广</w:t>
      </w:r>
      <w:r>
        <w:rPr>
          <w:rFonts w:hint="eastAsia" w:ascii="宋体" w:hAnsi="宋体" w:eastAsia="宋体" w:cs="宋体"/>
          <w:b w:val="0"/>
          <w:bCs w:val="0"/>
          <w:sz w:val="24"/>
          <w:szCs w:val="24"/>
        </w:rPr>
        <w:t>、维度</w:t>
      </w:r>
      <w:r>
        <w:rPr>
          <w:rFonts w:hint="eastAsia" w:ascii="宋体" w:hAnsi="宋体" w:eastAsia="宋体" w:cs="宋体"/>
          <w:b w:val="0"/>
          <w:bCs w:val="0"/>
          <w:sz w:val="24"/>
          <w:szCs w:val="24"/>
          <w:lang w:val="en-US" w:eastAsia="zh-CN"/>
        </w:rPr>
        <w:t>多</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体</w:t>
      </w:r>
      <w:r>
        <w:rPr>
          <w:rFonts w:hint="eastAsia" w:ascii="宋体" w:hAnsi="宋体" w:eastAsia="宋体" w:cs="宋体"/>
          <w:b w:val="0"/>
          <w:bCs w:val="0"/>
          <w:sz w:val="24"/>
          <w:szCs w:val="24"/>
        </w:rPr>
        <w:t>量大的</w:t>
      </w:r>
      <w:r>
        <w:rPr>
          <w:rFonts w:hint="eastAsia" w:ascii="宋体" w:hAnsi="宋体" w:eastAsia="宋体" w:cs="宋体"/>
          <w:sz w:val="24"/>
          <w:szCs w:val="24"/>
        </w:rPr>
        <w:t>特点，原始数据通常包含数十甚至上百个字段，核心来源包括仓储管理系统、快递公司后台、电商平台订单系统、物流轨迹追踪平台等，数据维度涵盖订单信息、物流轨迹、仓储数据、成本数据等。直接在海量原始数据上进行分析，不仅计算效率低下，而且过多的冗余字段和噪声数据会干扰分析结果，降低模型准确性。</w:t>
      </w:r>
      <w:r>
        <w:rPr>
          <w:rFonts w:hint="eastAsia" w:ascii="宋体" w:hAnsi="宋体" w:eastAsia="宋体" w:cs="宋体"/>
          <w:sz w:val="24"/>
          <w:szCs w:val="24"/>
          <w:lang w:val="en-US" w:eastAsia="zh-CN"/>
        </w:rPr>
        <w:t>因此，</w:t>
      </w:r>
      <w:r>
        <w:rPr>
          <w:rFonts w:hint="eastAsia" w:ascii="宋体" w:hAnsi="宋体" w:eastAsia="宋体" w:cs="宋体"/>
          <w:sz w:val="24"/>
          <w:szCs w:val="24"/>
        </w:rPr>
        <w:t>数据规约是物流</w:t>
      </w:r>
      <w:r>
        <w:rPr>
          <w:rFonts w:hint="eastAsia" w:ascii="宋体" w:hAnsi="宋体" w:eastAsia="宋体" w:cs="宋体"/>
          <w:sz w:val="24"/>
          <w:szCs w:val="24"/>
          <w:lang w:val="en-US" w:eastAsia="zh-CN"/>
        </w:rPr>
        <w:t>履约</w:t>
      </w:r>
      <w:r>
        <w:rPr>
          <w:rFonts w:hint="eastAsia" w:ascii="宋体" w:hAnsi="宋体" w:eastAsia="宋体" w:cs="宋体"/>
          <w:sz w:val="24"/>
          <w:szCs w:val="24"/>
        </w:rPr>
        <w:t>数据预处理的核心环节</w:t>
      </w:r>
      <w:r>
        <w:rPr>
          <w:rFonts w:hint="eastAsia" w:ascii="宋体" w:hAnsi="宋体" w:eastAsia="宋体" w:cs="宋体"/>
          <w:sz w:val="24"/>
          <w:szCs w:val="24"/>
          <w:lang w:eastAsia="zh-CN"/>
        </w:rPr>
        <w:t>。</w:t>
      </w:r>
    </w:p>
    <w:p w14:paraId="1BF9618B">
      <w:pPr>
        <w:pStyle w:val="4"/>
        <w:spacing w:line="360" w:lineRule="auto"/>
        <w:rPr>
          <w:rFonts w:hint="eastAsia" w:ascii="宋体" w:hAnsi="宋体" w:eastAsia="宋体" w:cs="宋体"/>
          <w:sz w:val="24"/>
          <w:szCs w:val="24"/>
        </w:rPr>
      </w:pPr>
      <w:r>
        <w:rPr>
          <w:rFonts w:hint="eastAsia" w:ascii="宋体" w:hAnsi="宋体" w:eastAsia="宋体" w:cs="宋体"/>
          <w:sz w:val="24"/>
          <w:szCs w:val="24"/>
        </w:rPr>
        <w:t>（一）数据规约的核心意义</w:t>
      </w:r>
    </w:p>
    <w:p w14:paraId="4A22837E">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数据规约是在尽可能保持数据原有特征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保留核心信息</w:t>
      </w:r>
      <w:r>
        <w:rPr>
          <w:rFonts w:hint="eastAsia" w:ascii="宋体" w:hAnsi="宋体" w:eastAsia="宋体" w:cs="宋体"/>
          <w:sz w:val="24"/>
          <w:szCs w:val="24"/>
        </w:rPr>
        <w:t>的前提下，通过减少数据维度和数据量，精简数据规模、提升分析效率的技术手段。针对物流履约数据的</w:t>
      </w:r>
      <w:r>
        <w:rPr>
          <w:rFonts w:hint="eastAsia" w:ascii="宋体" w:hAnsi="宋体" w:eastAsia="宋体" w:cs="宋体"/>
          <w:b w:val="0"/>
          <w:bCs w:val="0"/>
          <w:sz w:val="24"/>
          <w:szCs w:val="24"/>
        </w:rPr>
        <w:t>多源性、冗余性、杂乱性</w:t>
      </w:r>
      <w:r>
        <w:rPr>
          <w:rFonts w:hint="eastAsia" w:ascii="宋体" w:hAnsi="宋体" w:eastAsia="宋体" w:cs="宋体"/>
          <w:sz w:val="24"/>
          <w:szCs w:val="24"/>
        </w:rPr>
        <w:t>问题，</w:t>
      </w:r>
      <w:r>
        <w:rPr>
          <w:rFonts w:hint="eastAsia" w:ascii="宋体" w:hAnsi="宋体" w:eastAsia="宋体" w:cs="宋体"/>
          <w:sz w:val="24"/>
          <w:szCs w:val="24"/>
          <w:lang w:val="en-US" w:eastAsia="zh-CN"/>
        </w:rPr>
        <w:t>数据规约</w:t>
      </w:r>
      <w:r>
        <w:rPr>
          <w:rFonts w:hint="eastAsia" w:ascii="宋体" w:hAnsi="宋体" w:eastAsia="宋体" w:cs="宋体"/>
          <w:sz w:val="24"/>
          <w:szCs w:val="24"/>
        </w:rPr>
        <w:t>通过</w:t>
      </w:r>
      <w:r>
        <w:rPr>
          <w:rFonts w:hint="eastAsia" w:ascii="宋体" w:hAnsi="宋体" w:eastAsia="宋体" w:cs="宋体"/>
          <w:sz w:val="24"/>
          <w:szCs w:val="24"/>
          <w:lang w:val="en-US" w:eastAsia="zh-CN"/>
        </w:rPr>
        <w:t>字段/</w:t>
      </w:r>
      <w:r>
        <w:rPr>
          <w:rFonts w:hint="eastAsia" w:ascii="宋体" w:hAnsi="宋体" w:eastAsia="宋体" w:cs="宋体"/>
          <w:sz w:val="24"/>
          <w:szCs w:val="24"/>
        </w:rPr>
        <w:t>属性筛选、数值简化、标准化整理</w:t>
      </w:r>
      <w:r>
        <w:rPr>
          <w:rFonts w:hint="eastAsia" w:ascii="宋体" w:hAnsi="宋体" w:eastAsia="宋体" w:cs="宋体"/>
          <w:sz w:val="24"/>
          <w:szCs w:val="24"/>
          <w:lang w:val="en-US" w:eastAsia="zh-CN"/>
        </w:rPr>
        <w:t>等方法</w:t>
      </w:r>
      <w:r>
        <w:rPr>
          <w:rFonts w:hint="eastAsia" w:ascii="宋体" w:hAnsi="宋体" w:eastAsia="宋体" w:cs="宋体"/>
          <w:sz w:val="24"/>
          <w:szCs w:val="24"/>
        </w:rPr>
        <w:t>，剔除无效数据、合并重复维度、统一数据格式，避免数据冗余导致的分析偏差，提升后续分析的效率和准确性，是物流</w:t>
      </w:r>
      <w:r>
        <w:rPr>
          <w:rFonts w:hint="eastAsia" w:ascii="宋体" w:hAnsi="宋体" w:eastAsia="宋体" w:cs="宋体"/>
          <w:sz w:val="24"/>
          <w:szCs w:val="24"/>
          <w:lang w:val="en-US" w:eastAsia="zh-CN"/>
        </w:rPr>
        <w:t>履约</w:t>
      </w:r>
      <w:r>
        <w:rPr>
          <w:rFonts w:hint="eastAsia" w:ascii="宋体" w:hAnsi="宋体" w:eastAsia="宋体" w:cs="宋体"/>
          <w:sz w:val="24"/>
          <w:szCs w:val="24"/>
        </w:rPr>
        <w:t>数据分析的必要前置步骤</w:t>
      </w:r>
      <w:r>
        <w:rPr>
          <w:rFonts w:hint="eastAsia" w:ascii="宋体" w:hAnsi="宋体" w:eastAsia="宋体" w:cs="宋体"/>
          <w:sz w:val="24"/>
          <w:szCs w:val="24"/>
          <w:lang w:eastAsia="zh-CN"/>
        </w:rPr>
        <w:t>，</w:t>
      </w:r>
      <w:r>
        <w:rPr>
          <w:rFonts w:hint="eastAsia" w:ascii="宋体" w:hAnsi="宋体" w:eastAsia="宋体" w:cs="宋体"/>
          <w:sz w:val="24"/>
          <w:szCs w:val="24"/>
        </w:rPr>
        <w:t>同时降低数据处理与分析的算力成本</w:t>
      </w:r>
      <w:r>
        <w:rPr>
          <w:rFonts w:hint="eastAsia" w:ascii="宋体" w:hAnsi="宋体" w:eastAsia="宋体" w:cs="宋体"/>
          <w:sz w:val="24"/>
          <w:szCs w:val="24"/>
          <w:lang w:eastAsia="zh-CN"/>
        </w:rPr>
        <w:t>，</w:t>
      </w:r>
      <w:r>
        <w:rPr>
          <w:rFonts w:hint="eastAsia" w:ascii="宋体" w:hAnsi="宋体" w:eastAsia="宋体" w:cs="宋体"/>
          <w:sz w:val="24"/>
          <w:szCs w:val="24"/>
        </w:rPr>
        <w:t>更聚焦核心指标和关键问题。</w:t>
      </w:r>
    </w:p>
    <w:p w14:paraId="71B81F51">
      <w:pPr>
        <w:pStyle w:val="4"/>
        <w:spacing w:line="360" w:lineRule="auto"/>
        <w:rPr>
          <w:rFonts w:hint="eastAsia" w:ascii="宋体" w:hAnsi="宋体" w:eastAsia="宋体" w:cs="宋体"/>
          <w:sz w:val="24"/>
          <w:szCs w:val="24"/>
        </w:rPr>
      </w:pPr>
      <w:r>
        <w:rPr>
          <w:rFonts w:hint="eastAsia" w:ascii="宋体" w:hAnsi="宋体" w:eastAsia="宋体" w:cs="宋体"/>
          <w:sz w:val="24"/>
          <w:szCs w:val="24"/>
        </w:rPr>
        <w:t>（二）物流履约数据的常用规约方法</w:t>
      </w:r>
    </w:p>
    <w:p w14:paraId="5C616B78">
      <w:pPr>
        <w:pStyle w:val="5"/>
        <w:spacing w:line="360" w:lineRule="auto"/>
        <w:rPr>
          <w:rFonts w:hint="eastAsia" w:ascii="宋体" w:hAnsi="宋体" w:eastAsia="宋体" w:cs="宋体"/>
          <w:sz w:val="24"/>
          <w:szCs w:val="24"/>
        </w:rPr>
      </w:pPr>
      <w:r>
        <w:rPr>
          <w:rFonts w:hint="eastAsia" w:ascii="宋体" w:hAnsi="宋体" w:eastAsia="宋体" w:cs="宋体"/>
          <w:sz w:val="24"/>
          <w:szCs w:val="24"/>
        </w:rPr>
        <w:t xml:space="preserve">1. </w:t>
      </w:r>
      <w:r>
        <w:rPr>
          <w:rFonts w:hint="eastAsia" w:ascii="宋体" w:hAnsi="宋体" w:eastAsia="宋体" w:cs="宋体"/>
          <w:sz w:val="24"/>
          <w:szCs w:val="24"/>
          <w:lang w:val="en-US" w:eastAsia="zh-CN"/>
        </w:rPr>
        <w:t>维度</w:t>
      </w:r>
      <w:r>
        <w:rPr>
          <w:rFonts w:hint="eastAsia" w:ascii="宋体" w:hAnsi="宋体" w:eastAsia="宋体" w:cs="宋体"/>
          <w:sz w:val="24"/>
          <w:szCs w:val="24"/>
        </w:rPr>
        <w:t>规约</w:t>
      </w:r>
    </w:p>
    <w:p w14:paraId="66F09F11">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维度规约是指在不损失关键信息的前提下，减少数据集中的字段（列）数量，消除冗余</w:t>
      </w:r>
      <w:r>
        <w:rPr>
          <w:rFonts w:hint="eastAsia" w:ascii="宋体" w:hAnsi="宋体" w:eastAsia="宋体" w:cs="宋体"/>
          <w:sz w:val="24"/>
          <w:szCs w:val="24"/>
          <w:lang w:eastAsia="zh-CN"/>
        </w:rPr>
        <w:t>、</w:t>
      </w:r>
      <w:r>
        <w:rPr>
          <w:rFonts w:hint="eastAsia" w:ascii="宋体" w:hAnsi="宋体" w:eastAsia="宋体" w:cs="宋体"/>
          <w:sz w:val="24"/>
          <w:szCs w:val="24"/>
        </w:rPr>
        <w:t>无关</w:t>
      </w:r>
      <w:r>
        <w:rPr>
          <w:rFonts w:hint="eastAsia" w:ascii="宋体" w:hAnsi="宋体" w:eastAsia="宋体" w:cs="宋体"/>
          <w:sz w:val="24"/>
          <w:szCs w:val="24"/>
          <w:lang w:val="en-US" w:eastAsia="zh-CN"/>
        </w:rPr>
        <w:t>和重复</w:t>
      </w:r>
      <w:r>
        <w:rPr>
          <w:rFonts w:hint="eastAsia" w:ascii="宋体" w:hAnsi="宋体" w:eastAsia="宋体" w:cs="宋体"/>
          <w:sz w:val="24"/>
          <w:szCs w:val="24"/>
        </w:rPr>
        <w:t>维度</w:t>
      </w:r>
      <w:r>
        <w:rPr>
          <w:rFonts w:hint="eastAsia" w:ascii="宋体" w:hAnsi="宋体" w:eastAsia="宋体" w:cs="宋体"/>
          <w:sz w:val="24"/>
          <w:szCs w:val="24"/>
          <w:lang w:eastAsia="zh-CN"/>
        </w:rPr>
        <w:t>，</w:t>
      </w:r>
      <w:r>
        <w:rPr>
          <w:rFonts w:hint="eastAsia" w:ascii="宋体" w:hAnsi="宋体" w:eastAsia="宋体" w:cs="宋体"/>
          <w:sz w:val="24"/>
          <w:szCs w:val="24"/>
        </w:rPr>
        <w:t>即筛选物流数据的核心属性，剔除无关联属性</w:t>
      </w:r>
      <w:r>
        <w:rPr>
          <w:rFonts w:hint="eastAsia" w:ascii="宋体" w:hAnsi="宋体" w:eastAsia="宋体" w:cs="宋体"/>
          <w:sz w:val="24"/>
          <w:szCs w:val="24"/>
          <w:lang w:eastAsia="zh-CN"/>
        </w:rPr>
        <w:t>。在物流履约数据分析中，维度规约的核心思路是“保留核心字段、剔除冗余字段、合并相关字段”，</w:t>
      </w:r>
      <w:r>
        <w:rPr>
          <w:rFonts w:hint="eastAsia" w:ascii="宋体" w:hAnsi="宋体" w:eastAsia="宋体" w:cs="宋体"/>
          <w:sz w:val="24"/>
          <w:szCs w:val="24"/>
        </w:rPr>
        <w:t>核心原</w:t>
      </w:r>
      <w:r>
        <w:rPr>
          <w:rFonts w:hint="eastAsia" w:ascii="宋体" w:hAnsi="宋体" w:eastAsia="宋体" w:cs="宋体"/>
          <w:b w:val="0"/>
          <w:bCs w:val="0"/>
          <w:sz w:val="24"/>
          <w:szCs w:val="24"/>
        </w:rPr>
        <w:t>则是保留与物流履约（时效、质量、成本）强相关的属性</w:t>
      </w:r>
      <w:r>
        <w:rPr>
          <w:rFonts w:hint="eastAsia" w:ascii="宋体" w:hAnsi="宋体" w:eastAsia="宋体" w:cs="宋体"/>
          <w:sz w:val="24"/>
          <w:szCs w:val="24"/>
        </w:rPr>
        <w:t>。</w:t>
      </w:r>
    </w:p>
    <w:p w14:paraId="77DF543A">
      <w:pPr>
        <w:pStyle w:val="18"/>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b/>
          <w:bCs/>
          <w:sz w:val="24"/>
          <w:szCs w:val="24"/>
          <w:lang w:val="en-US" w:eastAsia="zh-CN"/>
        </w:rPr>
        <w:t>（1）保留核心字段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w:t>
      </w:r>
      <w:r>
        <w:rPr>
          <w:rFonts w:hint="eastAsia" w:ascii="宋体" w:hAnsi="宋体" w:eastAsia="宋体" w:cs="宋体"/>
          <w:sz w:val="24"/>
          <w:szCs w:val="24"/>
        </w:rPr>
        <w:t>订单编号、下单时间、发货时间、分拣时间、运输时长、签收时间、快递公司、配送区域、商品品类、包裹状态、库存数量、运输费用、仓储费用、包装费用、配送费用等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属于与</w:t>
      </w:r>
      <w:r>
        <w:rPr>
          <w:rFonts w:hint="eastAsia" w:ascii="宋体" w:hAnsi="宋体" w:eastAsia="宋体" w:cs="宋体"/>
          <w:b w:val="0"/>
          <w:bCs w:val="0"/>
          <w:sz w:val="24"/>
          <w:szCs w:val="24"/>
        </w:rPr>
        <w:t>物流履约强相关</w:t>
      </w:r>
      <w:r>
        <w:rPr>
          <w:rFonts w:hint="eastAsia" w:ascii="宋体" w:hAnsi="宋体" w:eastAsia="宋体" w:cs="宋体"/>
          <w:b w:val="0"/>
          <w:bCs w:val="0"/>
          <w:sz w:val="24"/>
          <w:szCs w:val="24"/>
          <w:lang w:eastAsia="zh-CN"/>
        </w:rPr>
        <w:t>的</w:t>
      </w:r>
      <w:r>
        <w:rPr>
          <w:rFonts w:hint="eastAsia" w:ascii="宋体" w:hAnsi="宋体" w:eastAsia="宋体" w:cs="宋体"/>
          <w:b w:val="0"/>
          <w:bCs w:val="0"/>
          <w:sz w:val="24"/>
          <w:szCs w:val="24"/>
          <w:lang w:val="en-US" w:eastAsia="zh-CN"/>
        </w:rPr>
        <w:t>字段，通常会保留。</w:t>
      </w:r>
    </w:p>
    <w:p w14:paraId="15B6F88F">
      <w:pPr>
        <w:pStyle w:val="18"/>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b/>
          <w:bCs/>
          <w:sz w:val="24"/>
          <w:szCs w:val="24"/>
          <w:lang w:val="en-US" w:eastAsia="zh-CN"/>
        </w:rPr>
        <w:t>（2）剔除冗余字段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首先，直接删除</w:t>
      </w:r>
      <w:r>
        <w:rPr>
          <w:rFonts w:hint="eastAsia" w:ascii="宋体" w:hAnsi="宋体" w:eastAsia="宋体" w:cs="宋体"/>
          <w:sz w:val="24"/>
          <w:szCs w:val="24"/>
          <w:lang w:eastAsia="zh-CN"/>
        </w:rPr>
        <w:t>与物流分析目标无关的字段，</w:t>
      </w:r>
      <w:r>
        <w:rPr>
          <w:rFonts w:hint="eastAsia" w:ascii="宋体" w:hAnsi="宋体" w:eastAsia="宋体" w:cs="宋体"/>
          <w:sz w:val="24"/>
          <w:szCs w:val="24"/>
          <w:lang w:val="en-US" w:eastAsia="zh-CN"/>
        </w:rPr>
        <w:t>例如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消费者</w:t>
      </w:r>
      <w:r>
        <w:rPr>
          <w:rFonts w:hint="eastAsia" w:ascii="宋体" w:hAnsi="宋体" w:eastAsia="宋体" w:cs="宋体"/>
          <w:sz w:val="24"/>
          <w:szCs w:val="24"/>
          <w:lang w:eastAsia="zh-CN"/>
        </w:rPr>
        <w:t>备注（</w:t>
      </w:r>
      <w:r>
        <w:rPr>
          <w:rFonts w:hint="eastAsia" w:ascii="宋体" w:hAnsi="宋体" w:eastAsia="宋体" w:cs="宋体"/>
          <w:sz w:val="24"/>
          <w:szCs w:val="24"/>
          <w:lang w:val="en-US" w:eastAsia="zh-CN"/>
        </w:rPr>
        <w:t>无物流关联</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商品详情</w:t>
      </w:r>
      <w:r>
        <w:rPr>
          <w:rFonts w:hint="eastAsia" w:ascii="宋体" w:hAnsi="宋体" w:eastAsia="宋体" w:cs="宋体"/>
          <w:sz w:val="24"/>
          <w:szCs w:val="24"/>
          <w:lang w:eastAsia="zh-CN"/>
        </w:rPr>
        <w:t>”“营销活动标签”“页面浏览来源”“</w:t>
      </w:r>
      <w:r>
        <w:rPr>
          <w:rFonts w:hint="eastAsia" w:ascii="宋体" w:hAnsi="宋体" w:eastAsia="宋体" w:cs="宋体"/>
          <w:sz w:val="24"/>
          <w:szCs w:val="24"/>
        </w:rPr>
        <w:t>支付方式</w:t>
      </w:r>
      <w:r>
        <w:rPr>
          <w:rFonts w:hint="eastAsia" w:ascii="宋体" w:hAnsi="宋体" w:eastAsia="宋体" w:cs="宋体"/>
          <w:sz w:val="24"/>
          <w:szCs w:val="24"/>
          <w:lang w:eastAsia="zh-CN"/>
        </w:rPr>
        <w:t>”“</w:t>
      </w:r>
      <w:r>
        <w:rPr>
          <w:rFonts w:hint="eastAsia" w:ascii="宋体" w:hAnsi="宋体" w:eastAsia="宋体" w:cs="宋体"/>
          <w:sz w:val="24"/>
          <w:szCs w:val="24"/>
        </w:rPr>
        <w:t>用户昵称</w:t>
      </w:r>
      <w:r>
        <w:rPr>
          <w:rFonts w:hint="eastAsia" w:ascii="宋体" w:hAnsi="宋体" w:eastAsia="宋体" w:cs="宋体"/>
          <w:sz w:val="24"/>
          <w:szCs w:val="24"/>
          <w:lang w:eastAsia="zh-CN"/>
        </w:rPr>
        <w:t>”等字段与物流效率评估无直接关联，删除后不影响分析结论。</w:t>
      </w:r>
      <w:r>
        <w:rPr>
          <w:rFonts w:hint="eastAsia" w:ascii="宋体" w:hAnsi="宋体" w:eastAsia="宋体" w:cs="宋体"/>
          <w:sz w:val="24"/>
          <w:szCs w:val="24"/>
          <w:lang w:val="en-US" w:eastAsia="zh-CN"/>
        </w:rPr>
        <w:t>其次，</w:t>
      </w:r>
      <w:r>
        <w:rPr>
          <w:rFonts w:hint="eastAsia" w:ascii="宋体" w:hAnsi="宋体" w:eastAsia="宋体" w:cs="宋体"/>
          <w:sz w:val="24"/>
          <w:szCs w:val="24"/>
          <w:lang w:eastAsia="zh-CN"/>
        </w:rPr>
        <w:t>多个字段表达相同或高度相关的信息时，</w:t>
      </w:r>
      <w:r>
        <w:rPr>
          <w:rFonts w:hint="eastAsia" w:ascii="宋体" w:hAnsi="宋体" w:eastAsia="宋体" w:cs="宋体"/>
          <w:sz w:val="24"/>
          <w:szCs w:val="24"/>
          <w:lang w:val="en-US" w:eastAsia="zh-CN"/>
        </w:rPr>
        <w:t>仅</w:t>
      </w:r>
      <w:r>
        <w:rPr>
          <w:rFonts w:hint="eastAsia" w:ascii="宋体" w:hAnsi="宋体" w:eastAsia="宋体" w:cs="宋体"/>
          <w:sz w:val="24"/>
          <w:szCs w:val="24"/>
          <w:lang w:eastAsia="zh-CN"/>
        </w:rPr>
        <w:t>保留最具代表性的字段，删除其余冗余字段。例如，“订单创建时间戳”（精确到毫秒）与“订单日期”（精确到天）高度相关，物流分析通常只需精确到天，保留“订单日期”即可；“配送城市”与“收货城市”为重复属性，保留其一即可。</w:t>
      </w:r>
    </w:p>
    <w:p w14:paraId="6A1803A6">
      <w:pPr>
        <w:pStyle w:val="18"/>
        <w:numPr>
          <w:ilvl w:val="0"/>
          <w:numId w:val="0"/>
        </w:numPr>
        <w:spacing w:line="360" w:lineRule="auto"/>
        <w:ind w:leftChars="0"/>
        <w:rPr>
          <w:rFonts w:hint="eastAsia" w:ascii="宋体" w:hAnsi="宋体" w:eastAsia="宋体" w:cs="宋体"/>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lang w:eastAsia="zh-CN"/>
        </w:rPr>
        <w:t>）</w:t>
      </w:r>
      <w:r>
        <w:rPr>
          <w:rFonts w:hint="eastAsia" w:ascii="宋体" w:hAnsi="宋体" w:eastAsia="宋体" w:cs="宋体"/>
          <w:b/>
          <w:bCs/>
          <w:sz w:val="24"/>
          <w:szCs w:val="24"/>
        </w:rPr>
        <w:t>合并相关字段</w:t>
      </w:r>
      <w:r>
        <w:rPr>
          <w:rFonts w:hint="eastAsia" w:ascii="宋体" w:hAnsi="宋体" w:eastAsia="宋体" w:cs="宋体"/>
          <w:sz w:val="24"/>
          <w:szCs w:val="24"/>
          <w:lang w:eastAsia="zh-CN"/>
        </w:rPr>
        <w:t>。基于保留的核心字段，</w:t>
      </w:r>
      <w:r>
        <w:rPr>
          <w:rFonts w:hint="eastAsia" w:ascii="宋体" w:hAnsi="宋体" w:eastAsia="宋体" w:cs="宋体"/>
          <w:sz w:val="24"/>
          <w:szCs w:val="24"/>
          <w:lang w:val="en-US" w:eastAsia="zh-CN"/>
        </w:rPr>
        <w:t>合并或</w:t>
      </w:r>
      <w:r>
        <w:rPr>
          <w:rFonts w:hint="eastAsia" w:ascii="宋体" w:hAnsi="宋体" w:eastAsia="宋体" w:cs="宋体"/>
          <w:sz w:val="24"/>
          <w:szCs w:val="24"/>
          <w:lang w:eastAsia="zh-CN"/>
        </w:rPr>
        <w:t>计算生成新的分析维度。例如，“收货省”“收货市”“收货区”三个字段可合并为</w:t>
      </w:r>
      <w:r>
        <w:rPr>
          <w:rFonts w:hint="eastAsia" w:ascii="宋体" w:hAnsi="宋体" w:eastAsia="宋体" w:cs="宋体"/>
          <w:sz w:val="24"/>
          <w:szCs w:val="24"/>
          <w:lang w:val="en-US" w:eastAsia="zh-CN"/>
        </w:rPr>
        <w:t>包含省市区的</w:t>
      </w:r>
      <w:r>
        <w:rPr>
          <w:rFonts w:hint="eastAsia" w:ascii="宋体" w:hAnsi="宋体" w:eastAsia="宋体" w:cs="宋体"/>
          <w:sz w:val="24"/>
          <w:szCs w:val="24"/>
          <w:lang w:eastAsia="zh-CN"/>
        </w:rPr>
        <w:t>“收货区域”一个字段；基于“仓库出库时间”和“订单创建时间”计算“订单处理时长”；基于“签收时间”和“出库时间”计算“配送时效”；基于“物流费用”和“订单数量”计算“单位订单物流成本”。</w:t>
      </w:r>
    </w:p>
    <w:p w14:paraId="4B9CD289">
      <w:pPr>
        <w:pStyle w:val="18"/>
        <w:numPr>
          <w:ilvl w:val="0"/>
          <w:numId w:val="0"/>
        </w:numPr>
        <w:spacing w:line="360" w:lineRule="auto"/>
        <w:ind w:left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704840" cy="2122805"/>
            <wp:effectExtent l="0" t="0" r="10160" b="10795"/>
            <wp:docPr id="2" name="图片 2" descr="图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6-1"/>
                    <pic:cNvPicPr>
                      <a:picLocks noChangeAspect="1"/>
                    </pic:cNvPicPr>
                  </pic:nvPicPr>
                  <pic:blipFill>
                    <a:blip r:embed="rId5"/>
                    <a:srcRect l="2753" t="-191" r="3275"/>
                    <a:stretch>
                      <a:fillRect/>
                    </a:stretch>
                  </pic:blipFill>
                  <pic:spPr>
                    <a:xfrm>
                      <a:off x="0" y="0"/>
                      <a:ext cx="5704840" cy="2122805"/>
                    </a:xfrm>
                    <a:prstGeom prst="rect">
                      <a:avLst/>
                    </a:prstGeom>
                  </pic:spPr>
                </pic:pic>
              </a:graphicData>
            </a:graphic>
          </wp:inline>
        </w:drawing>
      </w:r>
    </w:p>
    <w:p w14:paraId="390ADD60">
      <w:pPr>
        <w:pStyle w:val="18"/>
        <w:numPr>
          <w:ilvl w:val="0"/>
          <w:numId w:val="0"/>
        </w:numPr>
        <w:spacing w:line="360" w:lineRule="auto"/>
        <w:ind w:left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图6-1  物流数据维度规约处理流程图</w:t>
      </w:r>
    </w:p>
    <w:p w14:paraId="5B6004CD">
      <w:pPr>
        <w:pStyle w:val="5"/>
        <w:spacing w:line="360" w:lineRule="auto"/>
        <w:rPr>
          <w:rFonts w:hint="eastAsia" w:ascii="宋体" w:hAnsi="宋体" w:eastAsia="宋体" w:cs="宋体"/>
          <w:b/>
          <w:bCs/>
          <w:sz w:val="24"/>
          <w:szCs w:val="24"/>
          <w:lang w:val="en-US" w:eastAsia="zh-CN"/>
        </w:rPr>
      </w:pPr>
      <w:r>
        <w:rPr>
          <w:rFonts w:hint="eastAsia" w:ascii="宋体" w:hAnsi="宋体" w:eastAsia="宋体" w:cs="宋体"/>
          <w:sz w:val="24"/>
          <w:szCs w:val="24"/>
        </w:rPr>
        <w:t>2.</w:t>
      </w:r>
      <w:r>
        <w:rPr>
          <w:rFonts w:hint="eastAsia" w:ascii="宋体" w:hAnsi="宋体" w:eastAsia="宋体" w:cs="宋体"/>
          <w:sz w:val="24"/>
          <w:szCs w:val="24"/>
          <w:lang w:val="en-US" w:eastAsia="zh-CN"/>
        </w:rPr>
        <w:t>数量规约</w:t>
      </w:r>
    </w:p>
    <w:p w14:paraId="2B19508E">
      <w:pPr>
        <w:pStyle w:val="18"/>
        <w:numPr>
          <w:ilvl w:val="0"/>
          <w:numId w:val="0"/>
        </w:numPr>
        <w:spacing w:line="360" w:lineRule="auto"/>
        <w:ind w:firstLine="480" w:firstLineChars="200"/>
        <w:rPr>
          <w:rFonts w:hint="eastAsia" w:ascii="宋体" w:hAnsi="宋体" w:eastAsia="宋体" w:cs="宋体"/>
          <w:b/>
          <w:bCs/>
          <w:sz w:val="24"/>
          <w:szCs w:val="24"/>
          <w:lang w:val="en-US" w:eastAsia="zh-CN"/>
        </w:rPr>
      </w:pPr>
      <w:r>
        <w:rPr>
          <w:rFonts w:hint="eastAsia" w:ascii="宋体" w:hAnsi="宋体" w:eastAsia="宋体" w:cs="宋体"/>
          <w:sz w:val="24"/>
          <w:szCs w:val="24"/>
        </w:rPr>
        <w:t>对物流</w:t>
      </w:r>
      <w:r>
        <w:rPr>
          <w:rFonts w:hint="eastAsia" w:ascii="宋体" w:hAnsi="宋体" w:eastAsia="宋体" w:cs="宋体"/>
          <w:sz w:val="24"/>
          <w:szCs w:val="24"/>
          <w:lang w:val="en-US" w:eastAsia="zh-CN"/>
        </w:rPr>
        <w:t>履约</w:t>
      </w:r>
      <w:r>
        <w:rPr>
          <w:rFonts w:hint="eastAsia" w:ascii="宋体" w:hAnsi="宋体" w:eastAsia="宋体" w:cs="宋体"/>
          <w:sz w:val="24"/>
          <w:szCs w:val="24"/>
        </w:rPr>
        <w:t>数据的数值型指标进行简化处理，在不丢失关键信息的前提下压缩数据量，适配物流海量订单的数据分析场景</w:t>
      </w:r>
      <w:r>
        <w:rPr>
          <w:rFonts w:hint="eastAsia" w:ascii="宋体" w:hAnsi="宋体" w:eastAsia="宋体" w:cs="宋体"/>
          <w:sz w:val="24"/>
          <w:szCs w:val="24"/>
          <w:lang w:eastAsia="zh-CN"/>
        </w:rPr>
        <w:t>。</w:t>
      </w:r>
    </w:p>
    <w:p w14:paraId="62C41B55">
      <w:pPr>
        <w:pStyle w:val="18"/>
        <w:numPr>
          <w:ilvl w:val="0"/>
          <w:numId w:val="0"/>
        </w:numPr>
        <w:spacing w:line="360" w:lineRule="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（1）异常值过滤。</w:t>
      </w:r>
      <w:r>
        <w:rPr>
          <w:rFonts w:hint="eastAsia" w:ascii="宋体" w:hAnsi="宋体" w:eastAsia="宋体" w:cs="宋体"/>
          <w:sz w:val="24"/>
          <w:szCs w:val="24"/>
          <w:lang w:val="en-US" w:eastAsia="zh-CN"/>
        </w:rPr>
        <w:t>在规约前先剔除明显异常的数据记录，例如送货时间为0天（系统默认值）、送货时间超过90天（异常滞留）等记录，避免异常值干扰聚合结果的准确性。</w:t>
      </w:r>
    </w:p>
    <w:p w14:paraId="1E81BEE4">
      <w:pPr>
        <w:pStyle w:val="18"/>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eastAsia="zh-CN"/>
        </w:rPr>
        <w:t>）</w:t>
      </w:r>
      <w:r>
        <w:rPr>
          <w:rFonts w:hint="eastAsia" w:ascii="宋体" w:hAnsi="宋体" w:eastAsia="宋体" w:cs="宋体"/>
          <w:b/>
          <w:bCs/>
          <w:sz w:val="24"/>
          <w:szCs w:val="24"/>
        </w:rPr>
        <w:t>数据聚合</w:t>
      </w:r>
      <w:r>
        <w:rPr>
          <w:rFonts w:hint="eastAsia" w:ascii="宋体" w:hAnsi="宋体" w:eastAsia="宋体" w:cs="宋体"/>
          <w:b/>
          <w:bCs/>
          <w:sz w:val="24"/>
          <w:szCs w:val="24"/>
          <w:lang w:eastAsia="zh-CN"/>
        </w:rPr>
        <w:t>。</w:t>
      </w:r>
      <w:r>
        <w:rPr>
          <w:rFonts w:hint="eastAsia" w:ascii="宋体" w:hAnsi="宋体" w:eastAsia="宋体" w:cs="宋体"/>
          <w:sz w:val="24"/>
          <w:szCs w:val="24"/>
        </w:rPr>
        <w:t>将细粒度数据聚合为粗粒度数据，减少数据量。</w:t>
      </w:r>
      <w:r>
        <w:rPr>
          <w:rFonts w:hint="eastAsia" w:ascii="宋体" w:hAnsi="宋体" w:eastAsia="宋体" w:cs="宋体"/>
          <w:sz w:val="24"/>
          <w:szCs w:val="24"/>
          <w:lang w:val="en-US" w:eastAsia="zh-CN"/>
        </w:rPr>
        <w:t>例如</w:t>
      </w:r>
      <w:r>
        <w:rPr>
          <w:rFonts w:hint="eastAsia" w:ascii="宋体" w:hAnsi="宋体" w:eastAsia="宋体" w:cs="宋体"/>
          <w:sz w:val="24"/>
          <w:szCs w:val="24"/>
        </w:rPr>
        <w:t>将按小时统计的仓储分拣时长，聚合为按日/按区域/按快递公司的汇总数据；将按单统计的物流成本，聚合为按周/按品类的总成本数据。</w:t>
      </w:r>
    </w:p>
    <w:p w14:paraId="68BD0329">
      <w:pPr>
        <w:pStyle w:val="18"/>
        <w:numPr>
          <w:ilvl w:val="0"/>
          <w:numId w:val="0"/>
        </w:numPr>
        <w:spacing w:line="360" w:lineRule="auto"/>
        <w:ind w:leftChars="0"/>
        <w:rPr>
          <w:rFonts w:hint="default" w:ascii="宋体" w:hAnsi="宋体" w:eastAsia="宋体" w:cs="宋体"/>
          <w:sz w:val="24"/>
          <w:szCs w:val="24"/>
          <w:lang w:val="en-US"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lang w:eastAsia="zh-CN"/>
        </w:rPr>
        <w:t>）分层抽样。</w:t>
      </w:r>
      <w:r>
        <w:rPr>
          <w:rFonts w:hint="eastAsia" w:ascii="宋体" w:hAnsi="宋体" w:eastAsia="宋体" w:cs="宋体"/>
          <w:sz w:val="24"/>
          <w:szCs w:val="24"/>
        </w:rPr>
        <w:t>对海量订单的核心数值指标，采用抽样计算替代全量计算。</w:t>
      </w:r>
      <w:r>
        <w:rPr>
          <w:rFonts w:hint="eastAsia" w:ascii="宋体" w:hAnsi="宋体" w:eastAsia="宋体" w:cs="宋体"/>
          <w:sz w:val="24"/>
          <w:szCs w:val="24"/>
          <w:lang w:eastAsia="zh-CN"/>
        </w:rPr>
        <w:t>当数据量过大（如百万级订单）时，按关键维度（如收货区域、配送方式、商品品类）进行分层抽样，确保每个子群体的样本比例与总体一致，简化计算。例如，从100万条订单中抽取5万条（5%抽样率），按六大收货区域各抽取约8333条，保证区域分布的代表性；</w:t>
      </w:r>
      <w:r>
        <w:rPr>
          <w:rFonts w:hint="eastAsia" w:ascii="宋体" w:hAnsi="宋体" w:eastAsia="宋体" w:cs="宋体"/>
          <w:sz w:val="24"/>
          <w:szCs w:val="24"/>
        </w:rPr>
        <w:t>针对百万级订单的平均送货时间，随机抽取10%的有效订单计算均值，在误差允许范围内提升计算效率。</w:t>
      </w:r>
    </w:p>
    <w:p w14:paraId="3614B029">
      <w:pPr>
        <w:pStyle w:val="18"/>
        <w:numPr>
          <w:ilvl w:val="0"/>
          <w:numId w:val="0"/>
        </w:numPr>
        <w:spacing w:line="360" w:lineRule="auto"/>
        <w:ind w:left="0" w:leftChars="0"/>
        <w:rPr>
          <w:rFonts w:hint="eastAsia" w:ascii="宋体" w:hAnsi="宋体" w:eastAsia="宋体" w:cs="宋体"/>
          <w:sz w:val="24"/>
          <w:szCs w:val="24"/>
        </w:rPr>
      </w:pPr>
      <w:r>
        <w:rPr>
          <w:rFonts w:hint="eastAsia" w:ascii="宋体" w:hAnsi="宋体" w:eastAsia="宋体" w:cs="宋体"/>
          <w:b/>
          <w:bCs/>
          <w:sz w:val="24"/>
          <w:szCs w:val="24"/>
        </w:rPr>
        <w:t>（</w:t>
      </w: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）数据离散化</w:t>
      </w:r>
      <w:r>
        <w:rPr>
          <w:rFonts w:hint="eastAsia" w:ascii="宋体" w:hAnsi="宋体" w:eastAsia="宋体" w:cs="宋体"/>
          <w:b/>
          <w:bCs/>
          <w:sz w:val="24"/>
          <w:szCs w:val="24"/>
          <w:lang w:eastAsia="zh-CN"/>
        </w:rPr>
        <w:t>。</w:t>
      </w:r>
      <w:r>
        <w:rPr>
          <w:rFonts w:hint="eastAsia" w:ascii="宋体" w:hAnsi="宋体" w:eastAsia="宋体" w:cs="宋体"/>
          <w:sz w:val="24"/>
          <w:szCs w:val="24"/>
        </w:rPr>
        <w:t>将连续的数值型指标划分为离散区间，便于分组分析。</w:t>
      </w:r>
      <w:r>
        <w:rPr>
          <w:rFonts w:hint="eastAsia" w:ascii="宋体" w:hAnsi="宋体" w:eastAsia="宋体" w:cs="宋体"/>
          <w:sz w:val="24"/>
          <w:szCs w:val="24"/>
          <w:lang w:val="en-US" w:eastAsia="zh-CN"/>
        </w:rPr>
        <w:t>例如</w:t>
      </w:r>
      <w:r>
        <w:rPr>
          <w:rFonts w:hint="eastAsia" w:ascii="宋体" w:hAnsi="宋体" w:eastAsia="宋体" w:cs="宋体"/>
          <w:sz w:val="24"/>
          <w:szCs w:val="24"/>
        </w:rPr>
        <w:t>将连续的“送货时间（小时）”划分为“≤24h、24-48h、48-72h、＞72h”四个离散区间；将“库存周转率”划分为“低（＜2）、中（2-5）、高（＞5）”区间。</w:t>
      </w:r>
    </w:p>
    <w:p w14:paraId="6EE95117">
      <w:pPr>
        <w:pStyle w:val="4"/>
        <w:spacing w:line="360" w:lineRule="auto"/>
        <w:rPr>
          <w:rFonts w:hint="eastAsia" w:ascii="宋体" w:hAnsi="宋体" w:eastAsia="宋体" w:cs="宋体"/>
          <w:sz w:val="24"/>
          <w:szCs w:val="24"/>
        </w:rPr>
      </w:pPr>
      <w:r>
        <w:rPr>
          <w:rFonts w:hint="eastAsia" w:ascii="宋体" w:hAnsi="宋体" w:eastAsia="宋体" w:cs="宋体"/>
          <w:sz w:val="24"/>
          <w:szCs w:val="24"/>
        </w:rPr>
        <w:t>（三）物流数据规约的实操要点</w:t>
      </w:r>
    </w:p>
    <w:p w14:paraId="31BED8A7">
      <w:pPr>
        <w:pStyle w:val="18"/>
        <w:numPr>
          <w:ilvl w:val="0"/>
          <w:numId w:val="0"/>
        </w:numPr>
        <w:spacing w:line="360" w:lineRule="auto"/>
        <w:ind w:leftChars="0"/>
        <w:rPr>
          <w:rFonts w:hint="eastAsia" w:ascii="宋体" w:hAnsi="宋体" w:eastAsia="宋体" w:cs="宋体"/>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lang w:eastAsia="zh-CN"/>
        </w:rPr>
        <w:t>）</w:t>
      </w:r>
      <w:r>
        <w:rPr>
          <w:rFonts w:hint="eastAsia" w:ascii="宋体" w:hAnsi="宋体" w:eastAsia="宋体" w:cs="宋体"/>
          <w:b/>
          <w:bCs/>
          <w:sz w:val="24"/>
          <w:szCs w:val="24"/>
        </w:rPr>
        <w:t>按需规约</w:t>
      </w:r>
      <w:r>
        <w:rPr>
          <w:rFonts w:hint="eastAsia" w:ascii="宋体" w:hAnsi="宋体" w:eastAsia="宋体" w:cs="宋体"/>
          <w:b/>
          <w:bCs/>
          <w:sz w:val="24"/>
          <w:szCs w:val="24"/>
          <w:lang w:eastAsia="zh-CN"/>
        </w:rPr>
        <w:t>。</w:t>
      </w:r>
      <w:r>
        <w:rPr>
          <w:rFonts w:hint="eastAsia" w:ascii="宋体" w:hAnsi="宋体" w:eastAsia="宋体" w:cs="宋体"/>
          <w:sz w:val="24"/>
          <w:szCs w:val="24"/>
        </w:rPr>
        <w:t>结合具体分析目标确定规约维度，如分析区域配送时效时，重点保留“配送区域、下单时间、签收时间、快递公司”相关属性，剔除成本相关冗余属性</w:t>
      </w:r>
      <w:r>
        <w:rPr>
          <w:rFonts w:hint="eastAsia" w:ascii="宋体" w:hAnsi="宋体" w:eastAsia="宋体" w:cs="宋体"/>
          <w:sz w:val="24"/>
          <w:szCs w:val="24"/>
          <w:lang w:eastAsia="zh-CN"/>
        </w:rPr>
        <w:t>。</w:t>
      </w:r>
    </w:p>
    <w:p w14:paraId="2B4D4830">
      <w:pPr>
        <w:pStyle w:val="18"/>
        <w:numPr>
          <w:ilvl w:val="0"/>
          <w:numId w:val="0"/>
        </w:numPr>
        <w:spacing w:line="360" w:lineRule="auto"/>
        <w:ind w:leftChars="0"/>
        <w:rPr>
          <w:rFonts w:hint="eastAsia" w:ascii="宋体" w:hAnsi="宋体" w:eastAsia="宋体" w:cs="宋体"/>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eastAsia="zh-CN"/>
        </w:rPr>
        <w:t>）</w:t>
      </w:r>
      <w:r>
        <w:rPr>
          <w:rFonts w:hint="eastAsia" w:ascii="宋体" w:hAnsi="宋体" w:eastAsia="宋体" w:cs="宋体"/>
          <w:b/>
          <w:bCs/>
          <w:sz w:val="24"/>
          <w:szCs w:val="24"/>
        </w:rPr>
        <w:t>验证完整性</w:t>
      </w:r>
      <w:r>
        <w:rPr>
          <w:rFonts w:hint="eastAsia" w:ascii="宋体" w:hAnsi="宋体" w:eastAsia="宋体" w:cs="宋体"/>
          <w:sz w:val="24"/>
          <w:szCs w:val="24"/>
          <w:lang w:eastAsia="zh-CN"/>
        </w:rPr>
        <w:t>。</w:t>
      </w:r>
      <w:r>
        <w:rPr>
          <w:rFonts w:hint="eastAsia" w:ascii="宋体" w:hAnsi="宋体" w:eastAsia="宋体" w:cs="宋体"/>
          <w:sz w:val="24"/>
          <w:szCs w:val="24"/>
        </w:rPr>
        <w:t>规约后需检查核心物流指标的信息无丢失，确保平均送货时间、准时送达率、包裹完好率、单位物流成本等核心指标可正常计算</w:t>
      </w:r>
      <w:r>
        <w:rPr>
          <w:rFonts w:hint="eastAsia" w:ascii="宋体" w:hAnsi="宋体" w:eastAsia="宋体" w:cs="宋体"/>
          <w:sz w:val="24"/>
          <w:szCs w:val="24"/>
          <w:lang w:eastAsia="zh-CN"/>
        </w:rPr>
        <w:t>。</w:t>
      </w:r>
    </w:p>
    <w:p w14:paraId="1C135E28">
      <w:pPr>
        <w:pStyle w:val="18"/>
        <w:numPr>
          <w:ilvl w:val="0"/>
          <w:numId w:val="0"/>
        </w:numPr>
        <w:spacing w:line="360" w:lineRule="auto"/>
        <w:ind w:leftChars="0"/>
        <w:rPr>
          <w:rFonts w:hint="eastAsia" w:ascii="宋体" w:hAnsi="宋体" w:eastAsia="宋体" w:cs="宋体"/>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lang w:eastAsia="zh-CN"/>
        </w:rPr>
        <w:t>）</w:t>
      </w:r>
      <w:r>
        <w:rPr>
          <w:rFonts w:hint="eastAsia" w:ascii="宋体" w:hAnsi="宋体" w:eastAsia="宋体" w:cs="宋体"/>
          <w:b/>
          <w:bCs/>
          <w:sz w:val="24"/>
          <w:szCs w:val="24"/>
        </w:rPr>
        <w:t>标准化整理</w:t>
      </w:r>
      <w:r>
        <w:rPr>
          <w:rFonts w:hint="eastAsia" w:ascii="宋体" w:hAnsi="宋体" w:eastAsia="宋体" w:cs="宋体"/>
          <w:b/>
          <w:bCs/>
          <w:sz w:val="24"/>
          <w:szCs w:val="24"/>
          <w:lang w:eastAsia="zh-CN"/>
        </w:rPr>
        <w:t>。</w:t>
      </w:r>
      <w:r>
        <w:rPr>
          <w:rFonts w:hint="eastAsia" w:ascii="宋体" w:hAnsi="宋体" w:eastAsia="宋体" w:cs="宋体"/>
          <w:sz w:val="24"/>
          <w:szCs w:val="24"/>
        </w:rPr>
        <w:t>对规约后的数据进行统一标准化处理，</w:t>
      </w:r>
      <w:r>
        <w:rPr>
          <w:rFonts w:hint="eastAsia" w:ascii="宋体" w:hAnsi="宋体" w:eastAsia="宋体" w:cs="宋体"/>
          <w:b/>
          <w:bCs/>
          <w:sz w:val="24"/>
          <w:szCs w:val="24"/>
        </w:rPr>
        <w:t>统一字段名称、数据格式、统计口径</w:t>
      </w:r>
      <w:r>
        <w:rPr>
          <w:rFonts w:hint="eastAsia" w:ascii="宋体" w:hAnsi="宋体" w:eastAsia="宋体" w:cs="宋体"/>
          <w:sz w:val="24"/>
          <w:szCs w:val="24"/>
        </w:rPr>
        <w:t>，</w:t>
      </w:r>
      <w:r>
        <w:rPr>
          <w:rFonts w:hint="eastAsia" w:ascii="宋体" w:hAnsi="宋体" w:eastAsia="宋体" w:cs="宋体"/>
          <w:sz w:val="24"/>
          <w:szCs w:val="24"/>
          <w:lang w:val="en-US" w:eastAsia="zh-CN"/>
        </w:rPr>
        <w:t>例如：</w:t>
      </w:r>
      <w:r>
        <w:rPr>
          <w:rFonts w:hint="eastAsia" w:ascii="宋体" w:hAnsi="宋体" w:eastAsia="宋体" w:cs="宋体"/>
          <w:sz w:val="24"/>
          <w:szCs w:val="24"/>
        </w:rPr>
        <w:t>时间格式统一为“YYYY-MM-DD HH:MM”，金额单位统一为“元”，区域统一为“省+市”格式</w:t>
      </w:r>
      <w:r>
        <w:rPr>
          <w:rFonts w:hint="eastAsia" w:ascii="宋体" w:hAnsi="宋体" w:eastAsia="宋体" w:cs="宋体"/>
          <w:sz w:val="24"/>
          <w:szCs w:val="24"/>
          <w:lang w:eastAsia="zh-CN"/>
        </w:rPr>
        <w:t>。</w:t>
      </w:r>
    </w:p>
    <w:p w14:paraId="3E677164">
      <w:pPr>
        <w:pStyle w:val="18"/>
        <w:numPr>
          <w:ilvl w:val="0"/>
          <w:numId w:val="0"/>
        </w:numPr>
        <w:spacing w:line="360" w:lineRule="auto"/>
        <w:ind w:leftChars="0"/>
        <w:rPr>
          <w:rFonts w:hint="eastAsia" w:ascii="宋体" w:hAnsi="宋体" w:eastAsia="宋体" w:cs="宋体"/>
          <w:sz w:val="24"/>
          <w:szCs w:val="24"/>
          <w:lang w:eastAsia="zh-CN"/>
        </w:rPr>
      </w:pPr>
      <w:r>
        <w:rPr>
          <w:rStyle w:val="13"/>
          <w:rFonts w:hint="eastAsia" w:ascii="宋体" w:hAnsi="宋体" w:eastAsia="宋体" w:cs="宋体"/>
          <w:b/>
          <w:kern w:val="0"/>
          <w:sz w:val="24"/>
          <w:szCs w:val="24"/>
          <w:lang w:val="en-US" w:eastAsia="zh-CN" w:bidi="ar"/>
        </w:rPr>
        <mc:AlternateContent>
          <mc:Choice Requires="wps">
            <w:drawing>
              <wp:anchor distT="0" distB="0" distL="114300" distR="114300" simplePos="0" relativeHeight="251662336" behindDoc="0" locked="0" layoutInCell="1" allowOverlap="1">
                <wp:simplePos x="0" y="0"/>
                <wp:positionH relativeFrom="column">
                  <wp:posOffset>-92710</wp:posOffset>
                </wp:positionH>
                <wp:positionV relativeFrom="paragraph">
                  <wp:posOffset>561975</wp:posOffset>
                </wp:positionV>
                <wp:extent cx="5894705" cy="5610860"/>
                <wp:effectExtent l="12700" t="12700" r="17145" b="15240"/>
                <wp:wrapNone/>
                <wp:docPr id="38" name="圆角矩形 38"/>
                <wp:cNvGraphicFramePr/>
                <a:graphic xmlns:a="http://schemas.openxmlformats.org/drawingml/2006/main">
                  <a:graphicData uri="http://schemas.microsoft.com/office/word/2010/wordprocessingShape">
                    <wps:wsp>
                      <wps:cNvSpPr/>
                      <wps:spPr>
                        <a:xfrm>
                          <a:off x="0" y="0"/>
                          <a:ext cx="5894705" cy="5610860"/>
                        </a:xfrm>
                        <a:prstGeom prst="roundRect">
                          <a:avLst>
                            <a:gd name="adj" fmla="val 4220"/>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3pt;margin-top:44.25pt;height:441.8pt;width:464.15pt;z-index:251662336;v-text-anchor:middle;mso-width-relative:page;mso-height-relative:page;" filled="f" stroked="t" coordsize="21600,21600" arcsize="0.0422222222222222" o:gfxdata="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RDeCs3AAAAAoB&#10;AAAPAAAAAAAAAAEAIAAAACIAAABkcnMvZG93bnJldi54bWxQSwECFAAUAAAACACHTuJAexb4SokC&#10;AADtBAAADgAAAAAAAAABACAAAAArAQAAZHJzL2Uyb0RvYy54bWxQSwUGAAAAAAYABgBZAQAAJgYA&#10;AAAA&#10;">
                <v:fill on="f" focussize="0,0"/>
                <v:stroke weight="2pt" color="#4F81BD [3204]" joinstyle="round"/>
                <v:imagedata o:title=""/>
                <o:lock v:ext="edit" aspectratio="f"/>
              </v:roundrect>
            </w:pict>
          </mc:Fallback>
        </mc:AlternateConten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4</w:t>
      </w:r>
      <w:r>
        <w:rPr>
          <w:rFonts w:hint="eastAsia" w:ascii="宋体" w:hAnsi="宋体" w:eastAsia="宋体" w:cs="宋体"/>
          <w:b/>
          <w:bCs/>
          <w:sz w:val="24"/>
          <w:szCs w:val="24"/>
          <w:lang w:eastAsia="zh-CN"/>
        </w:rPr>
        <w:t>）</w:t>
      </w:r>
      <w:r>
        <w:rPr>
          <w:rFonts w:hint="eastAsia" w:ascii="宋体" w:hAnsi="宋体" w:eastAsia="宋体" w:cs="宋体"/>
          <w:b/>
          <w:bCs/>
          <w:sz w:val="24"/>
          <w:szCs w:val="24"/>
        </w:rPr>
        <w:t>留存原始数据</w:t>
      </w:r>
      <w:r>
        <w:rPr>
          <w:rFonts w:hint="eastAsia" w:ascii="宋体" w:hAnsi="宋体" w:eastAsia="宋体" w:cs="宋体"/>
          <w:b/>
          <w:bCs/>
          <w:sz w:val="24"/>
          <w:szCs w:val="24"/>
          <w:lang w:eastAsia="zh-CN"/>
        </w:rPr>
        <w:t>。</w:t>
      </w:r>
      <w:r>
        <w:rPr>
          <w:rFonts w:hint="eastAsia" w:ascii="宋体" w:hAnsi="宋体" w:eastAsia="宋体" w:cs="宋体"/>
          <w:sz w:val="24"/>
          <w:szCs w:val="24"/>
        </w:rPr>
        <w:t>数据规约仅对分析用数据进行处理，需留存原始物流数据，便于后续分析需求变更时重新提取数据</w:t>
      </w:r>
      <w:r>
        <w:rPr>
          <w:rFonts w:hint="eastAsia" w:ascii="宋体" w:hAnsi="宋体" w:eastAsia="宋体" w:cs="宋体"/>
          <w:sz w:val="24"/>
          <w:szCs w:val="24"/>
          <w:lang w:eastAsia="zh-CN"/>
        </w:rPr>
        <w:t>。</w:t>
      </w:r>
    </w:p>
    <w:p w14:paraId="6F79D15C">
      <w:pPr>
        <w:pStyle w:val="5"/>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72" w:lineRule="auto"/>
        <w:ind w:left="0" w:leftChars="0"/>
        <w:jc w:val="center"/>
        <w:textAlignment w:val="auto"/>
        <w:rPr>
          <w:rStyle w:val="13"/>
          <w:rFonts w:hint="eastAsia" w:ascii="宋体" w:hAnsi="宋体" w:eastAsia="宋体" w:cs="宋体"/>
          <w:b/>
          <w:bCs w:val="0"/>
          <w:kern w:val="0"/>
          <w:sz w:val="24"/>
          <w:szCs w:val="24"/>
          <w:lang w:val="en-US" w:eastAsia="zh-CN" w:bidi="ar"/>
        </w:rPr>
      </w:pPr>
      <w:r>
        <w:rPr>
          <w:rStyle w:val="13"/>
          <w:rFonts w:hint="eastAsia" w:ascii="宋体" w:hAnsi="宋体" w:eastAsia="宋体" w:cs="宋体"/>
          <w:b/>
          <w:bCs w:val="0"/>
          <w:kern w:val="0"/>
          <w:sz w:val="24"/>
          <w:szCs w:val="24"/>
          <w:lang w:val="en-US" w:eastAsia="zh-CN" w:bidi="ar"/>
        </w:rPr>
        <w:t>【AI加速】自动化处理海量物流数据——龙虾智能体助力数据规约与预处理</w:t>
      </w:r>
    </w:p>
    <w:p w14:paraId="252F6AEC">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龙虾（OpenClaw）执行型AI智能体，针对物流数据多源异构、体量庞大的处理痛点，实现了物流数据规约与预处理的全流程自动化。如图6-1，它能自动对接WMS系统、快递服务商后台、订单系统等多渠道物流数据源，通过自然语言指令一键完成数据清洗、降维、抽样、去重等规约操作，无需人工介入。</w:t>
      </w:r>
    </w:p>
    <w:p w14:paraId="7FA37FFE">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以电商月度物流数据处理为例，面对分散在不同平台、格式各异的近十万条原始订单数据，分析师仅需输入一句自然语言指令：“整合本月所有物流订单数据，按区域分层抽样10%，剔除冗余字段，统一时间格式，完成数据规约”，龙虾智能体即可自动完成跨系统数据抓取、格式统一、维度精简、异常值剔除全流程。</w:t>
      </w:r>
    </w:p>
    <w:p w14:paraId="56D30872">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海量不等于高效，精简才是分析的起点”，龙虾智能体将原本需要数小时的物流数据规约工作压缩至分钟级，同时100%保障核心物流指标信息无丢失，让物流分析师从繁琐的数据搬运工作中解脱，快速聚焦于后续的效率与成本深度分析。</w:t>
      </w:r>
    </w:p>
    <w:p w14:paraId="7025A0E6">
      <w:pPr>
        <w:jc w:val="center"/>
      </w:pPr>
      <w:r>
        <w:drawing>
          <wp:inline distT="0" distB="0" distL="114300" distR="114300">
            <wp:extent cx="5041265" cy="30200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6"/>
                    <a:srcRect t="15253" r="-25"/>
                    <a:stretch>
                      <a:fillRect/>
                    </a:stretch>
                  </pic:blipFill>
                  <pic:spPr>
                    <a:xfrm>
                      <a:off x="0" y="0"/>
                      <a:ext cx="5041265" cy="3020060"/>
                    </a:xfrm>
                    <a:prstGeom prst="rect">
                      <a:avLst/>
                    </a:prstGeom>
                  </pic:spPr>
                </pic:pic>
              </a:graphicData>
            </a:graphic>
          </wp:inline>
        </w:drawing>
      </w:r>
    </w:p>
    <w:p w14:paraId="6C5E7122">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jc w:val="center"/>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图6-2 龙虾智能体——物流数据自动化规约处理</w:t>
      </w:r>
    </w:p>
    <w:p w14:paraId="0B945625">
      <w:pPr>
        <w:pStyle w:val="3"/>
        <w:spacing w:line="360" w:lineRule="auto"/>
        <w:rPr>
          <w:rFonts w:hint="eastAsia" w:ascii="宋体" w:hAnsi="宋体" w:eastAsia="宋体" w:cs="宋体"/>
          <w:sz w:val="24"/>
          <w:szCs w:val="24"/>
        </w:rPr>
      </w:pPr>
      <w:r>
        <w:rPr>
          <w:rFonts w:hint="eastAsia" w:ascii="宋体" w:hAnsi="宋体" w:eastAsia="宋体" w:cs="宋体"/>
          <w:sz w:val="24"/>
          <w:szCs w:val="24"/>
        </w:rPr>
        <w:t>任务6.3 物流效率分析</w:t>
      </w:r>
    </w:p>
    <w:p w14:paraId="7743F773">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物流效率分析是物流履约数据分析的核心环节，基于预处理后的物流数据，从</w:t>
      </w:r>
      <w:r>
        <w:rPr>
          <w:rFonts w:hint="eastAsia" w:ascii="宋体" w:hAnsi="宋体" w:eastAsia="宋体" w:cs="宋体"/>
          <w:b/>
          <w:bCs/>
          <w:sz w:val="24"/>
          <w:szCs w:val="24"/>
        </w:rPr>
        <w:t>时效、成本、质量</w:t>
      </w:r>
      <w:r>
        <w:rPr>
          <w:rFonts w:hint="eastAsia" w:ascii="宋体" w:hAnsi="宋体" w:eastAsia="宋体" w:cs="宋体"/>
          <w:sz w:val="24"/>
          <w:szCs w:val="24"/>
        </w:rPr>
        <w:t>三个核心维度展开深度分析，通过多维度拆解、对比分析、归因分析，定位物流履约中的卡点问题、成本浪费点和质量短板，为物流方案优化提供精准的数据支撑。</w:t>
      </w:r>
    </w:p>
    <w:p w14:paraId="7AECE909">
      <w:pPr>
        <w:pStyle w:val="4"/>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w:t>
      </w:r>
      <w:r>
        <w:rPr>
          <w:rFonts w:hint="eastAsia" w:ascii="宋体" w:hAnsi="宋体" w:eastAsia="宋体" w:cs="宋体"/>
          <w:sz w:val="24"/>
          <w:szCs w:val="24"/>
        </w:rPr>
        <w:t>物流时效分析</w:t>
      </w:r>
    </w:p>
    <w:p w14:paraId="5ED06F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1.物流时效的概念</w:t>
      </w:r>
    </w:p>
    <w:p w14:paraId="368F5E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物流时效分析是物流效率评估的核心维度，通过对全链路各环节耗时的拆解与对比，精准识别时效瓶颈，为流程优化提供方向。</w:t>
      </w:r>
    </w:p>
    <w:p w14:paraId="0A8862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rPr>
        <w:t>全链路时效拆解。物流全链路可拆解为“下单→仓库处理→干线运输→末端配送→客户签收”五大环节，各环节耗时累加即为总送货时间。以“智享科技”双十一期间数据为例，全链路平均总耗时5.8天，各环节拆解如表6-2所示。</w:t>
      </w:r>
    </w:p>
    <w:p w14:paraId="46EAD6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表6-2 物流全链路各环节平均耗时拆解</w:t>
      </w:r>
    </w:p>
    <w:tbl>
      <w:tblPr>
        <w:tblStyle w:val="11"/>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49"/>
        <w:gridCol w:w="1213"/>
        <w:gridCol w:w="875"/>
        <w:gridCol w:w="1112"/>
        <w:gridCol w:w="825"/>
        <w:gridCol w:w="4086"/>
      </w:tblGrid>
      <w:tr w14:paraId="1C47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49"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537641F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环节</w:t>
            </w:r>
          </w:p>
        </w:tc>
        <w:tc>
          <w:tcPr>
            <w:tcW w:w="1213"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7CA126A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平均耗时（小时）</w:t>
            </w:r>
          </w:p>
        </w:tc>
        <w:tc>
          <w:tcPr>
            <w:tcW w:w="875"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0F96BD9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占比</w:t>
            </w:r>
          </w:p>
        </w:tc>
        <w:tc>
          <w:tcPr>
            <w:tcW w:w="1112"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2AFF333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行业基准（小时）</w:t>
            </w:r>
          </w:p>
        </w:tc>
        <w:tc>
          <w:tcPr>
            <w:tcW w:w="825"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291FCA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差距</w:t>
            </w:r>
          </w:p>
        </w:tc>
        <w:tc>
          <w:tcPr>
            <w:tcW w:w="4086"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552FC1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诊断结果</w:t>
            </w:r>
          </w:p>
        </w:tc>
      </w:tr>
      <w:tr w14:paraId="7289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49" w:type="dxa"/>
            <w:tcBorders>
              <w:top w:val="single" w:color="000000" w:sz="0" w:space="0"/>
              <w:left w:val="single" w:color="000000" w:sz="0" w:space="0"/>
              <w:bottom w:val="single" w:color="000000" w:sz="0" w:space="0"/>
              <w:right w:val="single" w:color="000000" w:sz="0" w:space="0"/>
            </w:tcBorders>
            <w:vAlign w:val="center"/>
          </w:tcPr>
          <w:p w14:paraId="20A8B6D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下单→仓库处理</w:t>
            </w:r>
          </w:p>
        </w:tc>
        <w:tc>
          <w:tcPr>
            <w:tcW w:w="1213" w:type="dxa"/>
            <w:tcBorders>
              <w:top w:val="single" w:color="000000" w:sz="0" w:space="0"/>
              <w:left w:val="single" w:color="000000" w:sz="0" w:space="0"/>
              <w:bottom w:val="single" w:color="000000" w:sz="0" w:space="0"/>
              <w:right w:val="single" w:color="000000" w:sz="0" w:space="0"/>
            </w:tcBorders>
            <w:vAlign w:val="center"/>
          </w:tcPr>
          <w:p w14:paraId="37324A9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18</w:t>
            </w:r>
          </w:p>
        </w:tc>
        <w:tc>
          <w:tcPr>
            <w:tcW w:w="875" w:type="dxa"/>
            <w:tcBorders>
              <w:top w:val="single" w:color="000000" w:sz="0" w:space="0"/>
              <w:left w:val="single" w:color="000000" w:sz="0" w:space="0"/>
              <w:bottom w:val="single" w:color="000000" w:sz="0" w:space="0"/>
              <w:right w:val="single" w:color="000000" w:sz="0" w:space="0"/>
            </w:tcBorders>
            <w:vAlign w:val="center"/>
          </w:tcPr>
          <w:p w14:paraId="1AB371E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13.0%</w:t>
            </w:r>
          </w:p>
        </w:tc>
        <w:tc>
          <w:tcPr>
            <w:tcW w:w="1112" w:type="dxa"/>
            <w:tcBorders>
              <w:top w:val="single" w:color="000000" w:sz="0" w:space="0"/>
              <w:left w:val="single" w:color="000000" w:sz="0" w:space="0"/>
              <w:bottom w:val="single" w:color="000000" w:sz="0" w:space="0"/>
              <w:right w:val="single" w:color="000000" w:sz="0" w:space="0"/>
            </w:tcBorders>
            <w:vAlign w:val="center"/>
          </w:tcPr>
          <w:p w14:paraId="69446B7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8</w:t>
            </w:r>
          </w:p>
        </w:tc>
        <w:tc>
          <w:tcPr>
            <w:tcW w:w="825" w:type="dxa"/>
            <w:tcBorders>
              <w:top w:val="single" w:color="000000" w:sz="0" w:space="0"/>
              <w:left w:val="single" w:color="000000" w:sz="0" w:space="0"/>
              <w:bottom w:val="single" w:color="000000" w:sz="0" w:space="0"/>
              <w:right w:val="single" w:color="000000" w:sz="0" w:space="0"/>
            </w:tcBorders>
            <w:vAlign w:val="center"/>
          </w:tcPr>
          <w:p w14:paraId="5853633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+10</w:t>
            </w:r>
          </w:p>
        </w:tc>
        <w:tc>
          <w:tcPr>
            <w:tcW w:w="4086" w:type="dxa"/>
            <w:tcBorders>
              <w:top w:val="single" w:color="000000" w:sz="0" w:space="0"/>
              <w:left w:val="single" w:color="000000" w:sz="0" w:space="0"/>
              <w:bottom w:val="single" w:color="000000" w:sz="0" w:space="0"/>
              <w:right w:val="single" w:color="000000" w:sz="0" w:space="0"/>
            </w:tcBorders>
            <w:vAlign w:val="center"/>
          </w:tcPr>
          <w:p w14:paraId="381B051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严重超标，仓库处理效率是核心瓶颈</w:t>
            </w:r>
          </w:p>
        </w:tc>
      </w:tr>
      <w:tr w14:paraId="58DD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49" w:type="dxa"/>
            <w:tcBorders>
              <w:top w:val="single" w:color="000000" w:sz="0" w:space="0"/>
              <w:left w:val="single" w:color="000000" w:sz="0" w:space="0"/>
              <w:bottom w:val="single" w:color="000000" w:sz="0" w:space="0"/>
              <w:right w:val="single" w:color="000000" w:sz="0" w:space="0"/>
            </w:tcBorders>
            <w:vAlign w:val="center"/>
          </w:tcPr>
          <w:p w14:paraId="0CADBA7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仓库处理→干线运输</w:t>
            </w:r>
          </w:p>
        </w:tc>
        <w:tc>
          <w:tcPr>
            <w:tcW w:w="1213" w:type="dxa"/>
            <w:tcBorders>
              <w:top w:val="single" w:color="000000" w:sz="0" w:space="0"/>
              <w:left w:val="single" w:color="000000" w:sz="0" w:space="0"/>
              <w:bottom w:val="single" w:color="000000" w:sz="0" w:space="0"/>
              <w:right w:val="single" w:color="000000" w:sz="0" w:space="0"/>
            </w:tcBorders>
            <w:vAlign w:val="center"/>
          </w:tcPr>
          <w:p w14:paraId="3B294A5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48</w:t>
            </w:r>
          </w:p>
        </w:tc>
        <w:tc>
          <w:tcPr>
            <w:tcW w:w="875" w:type="dxa"/>
            <w:tcBorders>
              <w:top w:val="single" w:color="000000" w:sz="0" w:space="0"/>
              <w:left w:val="single" w:color="000000" w:sz="0" w:space="0"/>
              <w:bottom w:val="single" w:color="000000" w:sz="0" w:space="0"/>
              <w:right w:val="single" w:color="000000" w:sz="0" w:space="0"/>
            </w:tcBorders>
            <w:vAlign w:val="center"/>
          </w:tcPr>
          <w:p w14:paraId="4B39E53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34.5%</w:t>
            </w:r>
          </w:p>
        </w:tc>
        <w:tc>
          <w:tcPr>
            <w:tcW w:w="1112" w:type="dxa"/>
            <w:tcBorders>
              <w:top w:val="single" w:color="000000" w:sz="0" w:space="0"/>
              <w:left w:val="single" w:color="000000" w:sz="0" w:space="0"/>
              <w:bottom w:val="single" w:color="000000" w:sz="0" w:space="0"/>
              <w:right w:val="single" w:color="000000" w:sz="0" w:space="0"/>
            </w:tcBorders>
            <w:vAlign w:val="center"/>
          </w:tcPr>
          <w:p w14:paraId="6565BBC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36</w:t>
            </w:r>
          </w:p>
        </w:tc>
        <w:tc>
          <w:tcPr>
            <w:tcW w:w="825" w:type="dxa"/>
            <w:tcBorders>
              <w:top w:val="single" w:color="000000" w:sz="0" w:space="0"/>
              <w:left w:val="single" w:color="000000" w:sz="0" w:space="0"/>
              <w:bottom w:val="single" w:color="000000" w:sz="0" w:space="0"/>
              <w:right w:val="single" w:color="000000" w:sz="0" w:space="0"/>
            </w:tcBorders>
            <w:vAlign w:val="center"/>
          </w:tcPr>
          <w:p w14:paraId="792E622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+12</w:t>
            </w:r>
          </w:p>
        </w:tc>
        <w:tc>
          <w:tcPr>
            <w:tcW w:w="4086" w:type="dxa"/>
            <w:tcBorders>
              <w:top w:val="single" w:color="000000" w:sz="0" w:space="0"/>
              <w:left w:val="single" w:color="000000" w:sz="0" w:space="0"/>
              <w:bottom w:val="single" w:color="000000" w:sz="0" w:space="0"/>
              <w:right w:val="single" w:color="000000" w:sz="0" w:space="0"/>
            </w:tcBorders>
            <w:vAlign w:val="center"/>
          </w:tcPr>
          <w:p w14:paraId="6B8FD2F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偏高，需排查物流商干线运力</w:t>
            </w:r>
          </w:p>
        </w:tc>
      </w:tr>
      <w:tr w14:paraId="1CF6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49" w:type="dxa"/>
            <w:tcBorders>
              <w:top w:val="single" w:color="000000" w:sz="0" w:space="0"/>
              <w:left w:val="single" w:color="000000" w:sz="0" w:space="0"/>
              <w:bottom w:val="single" w:color="000000" w:sz="0" w:space="0"/>
              <w:right w:val="single" w:color="000000" w:sz="0" w:space="0"/>
            </w:tcBorders>
            <w:vAlign w:val="center"/>
          </w:tcPr>
          <w:p w14:paraId="643ED81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干线运输→末端配送</w:t>
            </w:r>
          </w:p>
        </w:tc>
        <w:tc>
          <w:tcPr>
            <w:tcW w:w="1213" w:type="dxa"/>
            <w:tcBorders>
              <w:top w:val="single" w:color="000000" w:sz="0" w:space="0"/>
              <w:left w:val="single" w:color="000000" w:sz="0" w:space="0"/>
              <w:bottom w:val="single" w:color="000000" w:sz="0" w:space="0"/>
              <w:right w:val="single" w:color="000000" w:sz="0" w:space="0"/>
            </w:tcBorders>
            <w:vAlign w:val="center"/>
          </w:tcPr>
          <w:p w14:paraId="46E25CD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36</w:t>
            </w:r>
          </w:p>
        </w:tc>
        <w:tc>
          <w:tcPr>
            <w:tcW w:w="875" w:type="dxa"/>
            <w:tcBorders>
              <w:top w:val="single" w:color="000000" w:sz="0" w:space="0"/>
              <w:left w:val="single" w:color="000000" w:sz="0" w:space="0"/>
              <w:bottom w:val="single" w:color="000000" w:sz="0" w:space="0"/>
              <w:right w:val="single" w:color="000000" w:sz="0" w:space="0"/>
            </w:tcBorders>
            <w:vAlign w:val="center"/>
          </w:tcPr>
          <w:p w14:paraId="0489BF2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25.9%</w:t>
            </w:r>
          </w:p>
        </w:tc>
        <w:tc>
          <w:tcPr>
            <w:tcW w:w="1112" w:type="dxa"/>
            <w:tcBorders>
              <w:top w:val="single" w:color="000000" w:sz="0" w:space="0"/>
              <w:left w:val="single" w:color="000000" w:sz="0" w:space="0"/>
              <w:bottom w:val="single" w:color="000000" w:sz="0" w:space="0"/>
              <w:right w:val="single" w:color="000000" w:sz="0" w:space="0"/>
            </w:tcBorders>
            <w:vAlign w:val="center"/>
          </w:tcPr>
          <w:p w14:paraId="1E38185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30</w:t>
            </w:r>
          </w:p>
        </w:tc>
        <w:tc>
          <w:tcPr>
            <w:tcW w:w="825" w:type="dxa"/>
            <w:tcBorders>
              <w:top w:val="single" w:color="000000" w:sz="0" w:space="0"/>
              <w:left w:val="single" w:color="000000" w:sz="0" w:space="0"/>
              <w:bottom w:val="single" w:color="000000" w:sz="0" w:space="0"/>
              <w:right w:val="single" w:color="000000" w:sz="0" w:space="0"/>
            </w:tcBorders>
            <w:vAlign w:val="center"/>
          </w:tcPr>
          <w:p w14:paraId="3423CA5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+6</w:t>
            </w:r>
          </w:p>
        </w:tc>
        <w:tc>
          <w:tcPr>
            <w:tcW w:w="4086" w:type="dxa"/>
            <w:tcBorders>
              <w:top w:val="single" w:color="000000" w:sz="0" w:space="0"/>
              <w:left w:val="single" w:color="000000" w:sz="0" w:space="0"/>
              <w:bottom w:val="single" w:color="000000" w:sz="0" w:space="0"/>
              <w:right w:val="single" w:color="000000" w:sz="0" w:space="0"/>
            </w:tcBorders>
            <w:vAlign w:val="center"/>
          </w:tcPr>
          <w:p w14:paraId="1464D72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略高，末端配送压力较大</w:t>
            </w:r>
          </w:p>
        </w:tc>
      </w:tr>
      <w:tr w14:paraId="71E2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49" w:type="dxa"/>
            <w:tcBorders>
              <w:top w:val="single" w:color="000000" w:sz="0" w:space="0"/>
              <w:left w:val="single" w:color="000000" w:sz="0" w:space="0"/>
              <w:bottom w:val="single" w:color="000000" w:sz="0" w:space="0"/>
              <w:right w:val="single" w:color="000000" w:sz="0" w:space="0"/>
            </w:tcBorders>
            <w:vAlign w:val="center"/>
          </w:tcPr>
          <w:p w14:paraId="2C49028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末端配送→客户签收</w:t>
            </w:r>
          </w:p>
        </w:tc>
        <w:tc>
          <w:tcPr>
            <w:tcW w:w="1213" w:type="dxa"/>
            <w:tcBorders>
              <w:top w:val="single" w:color="000000" w:sz="0" w:space="0"/>
              <w:left w:val="single" w:color="000000" w:sz="0" w:space="0"/>
              <w:bottom w:val="single" w:color="000000" w:sz="0" w:space="0"/>
              <w:right w:val="single" w:color="000000" w:sz="0" w:space="0"/>
            </w:tcBorders>
            <w:vAlign w:val="center"/>
          </w:tcPr>
          <w:p w14:paraId="41E45AE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24</w:t>
            </w:r>
          </w:p>
        </w:tc>
        <w:tc>
          <w:tcPr>
            <w:tcW w:w="875" w:type="dxa"/>
            <w:tcBorders>
              <w:top w:val="single" w:color="000000" w:sz="0" w:space="0"/>
              <w:left w:val="single" w:color="000000" w:sz="0" w:space="0"/>
              <w:bottom w:val="single" w:color="000000" w:sz="0" w:space="0"/>
              <w:right w:val="single" w:color="000000" w:sz="0" w:space="0"/>
            </w:tcBorders>
            <w:vAlign w:val="center"/>
          </w:tcPr>
          <w:p w14:paraId="560049E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17.2%</w:t>
            </w:r>
          </w:p>
        </w:tc>
        <w:tc>
          <w:tcPr>
            <w:tcW w:w="1112" w:type="dxa"/>
            <w:tcBorders>
              <w:top w:val="single" w:color="000000" w:sz="0" w:space="0"/>
              <w:left w:val="single" w:color="000000" w:sz="0" w:space="0"/>
              <w:bottom w:val="single" w:color="000000" w:sz="0" w:space="0"/>
              <w:right w:val="single" w:color="000000" w:sz="0" w:space="0"/>
            </w:tcBorders>
            <w:vAlign w:val="center"/>
          </w:tcPr>
          <w:p w14:paraId="22E6372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18</w:t>
            </w:r>
          </w:p>
        </w:tc>
        <w:tc>
          <w:tcPr>
            <w:tcW w:w="825" w:type="dxa"/>
            <w:tcBorders>
              <w:top w:val="single" w:color="000000" w:sz="0" w:space="0"/>
              <w:left w:val="single" w:color="000000" w:sz="0" w:space="0"/>
              <w:bottom w:val="single" w:color="000000" w:sz="0" w:space="0"/>
              <w:right w:val="single" w:color="000000" w:sz="0" w:space="0"/>
            </w:tcBorders>
            <w:vAlign w:val="center"/>
          </w:tcPr>
          <w:p w14:paraId="493886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+6</w:t>
            </w:r>
          </w:p>
        </w:tc>
        <w:tc>
          <w:tcPr>
            <w:tcW w:w="4086" w:type="dxa"/>
            <w:tcBorders>
              <w:top w:val="single" w:color="000000" w:sz="0" w:space="0"/>
              <w:left w:val="single" w:color="000000" w:sz="0" w:space="0"/>
              <w:bottom w:val="single" w:color="000000" w:sz="0" w:space="0"/>
              <w:right w:val="single" w:color="000000" w:sz="0" w:space="0"/>
            </w:tcBorders>
            <w:vAlign w:val="center"/>
          </w:tcPr>
          <w:p w14:paraId="233EA2A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略高，可能与客户不在家有关</w:t>
            </w:r>
          </w:p>
        </w:tc>
      </w:tr>
      <w:tr w14:paraId="659C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49" w:type="dxa"/>
            <w:tcBorders>
              <w:top w:val="single" w:color="000000" w:sz="0" w:space="0"/>
              <w:left w:val="single" w:color="000000" w:sz="0" w:space="0"/>
              <w:bottom w:val="single" w:color="000000" w:sz="0" w:space="0"/>
              <w:right w:val="single" w:color="000000" w:sz="0" w:space="0"/>
            </w:tcBorders>
            <w:vAlign w:val="center"/>
          </w:tcPr>
          <w:p w14:paraId="770C2A6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异常等待/中转</w:t>
            </w:r>
          </w:p>
        </w:tc>
        <w:tc>
          <w:tcPr>
            <w:tcW w:w="1213" w:type="dxa"/>
            <w:tcBorders>
              <w:top w:val="single" w:color="000000" w:sz="0" w:space="0"/>
              <w:left w:val="single" w:color="000000" w:sz="0" w:space="0"/>
              <w:bottom w:val="single" w:color="000000" w:sz="0" w:space="0"/>
              <w:right w:val="single" w:color="000000" w:sz="0" w:space="0"/>
            </w:tcBorders>
            <w:vAlign w:val="center"/>
          </w:tcPr>
          <w:p w14:paraId="26502D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13.2</w:t>
            </w:r>
          </w:p>
        </w:tc>
        <w:tc>
          <w:tcPr>
            <w:tcW w:w="875" w:type="dxa"/>
            <w:tcBorders>
              <w:top w:val="single" w:color="000000" w:sz="0" w:space="0"/>
              <w:left w:val="single" w:color="000000" w:sz="0" w:space="0"/>
              <w:bottom w:val="single" w:color="000000" w:sz="0" w:space="0"/>
              <w:right w:val="single" w:color="000000" w:sz="0" w:space="0"/>
            </w:tcBorders>
            <w:vAlign w:val="center"/>
          </w:tcPr>
          <w:p w14:paraId="437D75A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9.4%</w:t>
            </w:r>
          </w:p>
        </w:tc>
        <w:tc>
          <w:tcPr>
            <w:tcW w:w="1112" w:type="dxa"/>
            <w:tcBorders>
              <w:top w:val="single" w:color="000000" w:sz="0" w:space="0"/>
              <w:left w:val="single" w:color="000000" w:sz="0" w:space="0"/>
              <w:bottom w:val="single" w:color="000000" w:sz="0" w:space="0"/>
              <w:right w:val="single" w:color="000000" w:sz="0" w:space="0"/>
            </w:tcBorders>
            <w:vAlign w:val="center"/>
          </w:tcPr>
          <w:p w14:paraId="279E4F3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6</w:t>
            </w:r>
          </w:p>
        </w:tc>
        <w:tc>
          <w:tcPr>
            <w:tcW w:w="825" w:type="dxa"/>
            <w:tcBorders>
              <w:top w:val="single" w:color="000000" w:sz="0" w:space="0"/>
              <w:left w:val="single" w:color="000000" w:sz="0" w:space="0"/>
              <w:bottom w:val="single" w:color="000000" w:sz="0" w:space="0"/>
              <w:right w:val="single" w:color="000000" w:sz="0" w:space="0"/>
            </w:tcBorders>
            <w:vAlign w:val="center"/>
          </w:tcPr>
          <w:p w14:paraId="02CDBFE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+7.2</w:t>
            </w:r>
          </w:p>
        </w:tc>
        <w:tc>
          <w:tcPr>
            <w:tcW w:w="4086" w:type="dxa"/>
            <w:tcBorders>
              <w:top w:val="single" w:color="000000" w:sz="0" w:space="0"/>
              <w:left w:val="single" w:color="000000" w:sz="0" w:space="0"/>
              <w:bottom w:val="single" w:color="000000" w:sz="0" w:space="0"/>
              <w:right w:val="single" w:color="000000" w:sz="0" w:space="0"/>
            </w:tcBorders>
            <w:vAlign w:val="center"/>
          </w:tcPr>
          <w:p w14:paraId="7409E81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异常等待时间过长，需排查中转环节</w:t>
            </w:r>
          </w:p>
        </w:tc>
      </w:tr>
      <w:tr w14:paraId="4DA97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49" w:type="dxa"/>
            <w:tcBorders>
              <w:top w:val="single" w:color="000000" w:sz="0" w:space="0"/>
              <w:left w:val="single" w:color="000000" w:sz="0" w:space="0"/>
              <w:bottom w:val="single" w:color="000000" w:sz="0" w:space="0"/>
              <w:right w:val="single" w:color="000000" w:sz="0" w:space="0"/>
            </w:tcBorders>
            <w:vAlign w:val="center"/>
          </w:tcPr>
          <w:p w14:paraId="25138B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合计</w:t>
            </w:r>
          </w:p>
        </w:tc>
        <w:tc>
          <w:tcPr>
            <w:tcW w:w="1213" w:type="dxa"/>
            <w:tcBorders>
              <w:top w:val="single" w:color="000000" w:sz="0" w:space="0"/>
              <w:left w:val="single" w:color="000000" w:sz="0" w:space="0"/>
              <w:bottom w:val="single" w:color="000000" w:sz="0" w:space="0"/>
              <w:right w:val="single" w:color="000000" w:sz="0" w:space="0"/>
            </w:tcBorders>
            <w:vAlign w:val="center"/>
          </w:tcPr>
          <w:p w14:paraId="7B60BBF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139.2（5.8天）</w:t>
            </w:r>
          </w:p>
        </w:tc>
        <w:tc>
          <w:tcPr>
            <w:tcW w:w="875" w:type="dxa"/>
            <w:tcBorders>
              <w:top w:val="single" w:color="000000" w:sz="0" w:space="0"/>
              <w:left w:val="single" w:color="000000" w:sz="0" w:space="0"/>
              <w:bottom w:val="single" w:color="000000" w:sz="0" w:space="0"/>
              <w:right w:val="single" w:color="000000" w:sz="0" w:space="0"/>
            </w:tcBorders>
            <w:vAlign w:val="center"/>
          </w:tcPr>
          <w:p w14:paraId="5142D88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100%</w:t>
            </w:r>
          </w:p>
        </w:tc>
        <w:tc>
          <w:tcPr>
            <w:tcW w:w="1112" w:type="dxa"/>
            <w:tcBorders>
              <w:top w:val="single" w:color="000000" w:sz="0" w:space="0"/>
              <w:left w:val="single" w:color="000000" w:sz="0" w:space="0"/>
              <w:bottom w:val="single" w:color="000000" w:sz="0" w:space="0"/>
              <w:right w:val="single" w:color="000000" w:sz="0" w:space="0"/>
            </w:tcBorders>
            <w:vAlign w:val="center"/>
          </w:tcPr>
          <w:p w14:paraId="53DAC92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98（4.1天）</w:t>
            </w:r>
          </w:p>
        </w:tc>
        <w:tc>
          <w:tcPr>
            <w:tcW w:w="825" w:type="dxa"/>
            <w:tcBorders>
              <w:top w:val="single" w:color="000000" w:sz="0" w:space="0"/>
              <w:left w:val="single" w:color="000000" w:sz="0" w:space="0"/>
              <w:bottom w:val="single" w:color="000000" w:sz="0" w:space="0"/>
              <w:right w:val="single" w:color="000000" w:sz="0" w:space="0"/>
            </w:tcBorders>
            <w:vAlign w:val="center"/>
          </w:tcPr>
          <w:p w14:paraId="7A346C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+41.2</w:t>
            </w:r>
          </w:p>
        </w:tc>
        <w:tc>
          <w:tcPr>
            <w:tcW w:w="4086" w:type="dxa"/>
            <w:tcBorders>
              <w:top w:val="single" w:color="000000" w:sz="0" w:space="0"/>
              <w:left w:val="single" w:color="000000" w:sz="0" w:space="0"/>
              <w:bottom w:val="single" w:color="000000" w:sz="0" w:space="0"/>
              <w:right w:val="single" w:color="000000" w:sz="0" w:space="0"/>
            </w:tcBorders>
            <w:vAlign w:val="center"/>
          </w:tcPr>
          <w:p w14:paraId="4E37B70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整体时效落后行业基准1.7天</w:t>
            </w:r>
          </w:p>
        </w:tc>
      </w:tr>
    </w:tbl>
    <w:p w14:paraId="28DD942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4953000" cy="2667000"/>
            <wp:effectExtent l="0" t="0" r="0" b="0"/>
            <wp:docPr id="100" name="Chart"/>
            <wp:cNvGraphicFramePr/>
            <a:graphic xmlns:a="http://schemas.openxmlformats.org/drawingml/2006/main">
              <a:graphicData uri="http://schemas.openxmlformats.org/drawingml/2006/picture">
                <pic:pic xmlns:pic="http://schemas.openxmlformats.org/drawingml/2006/picture">
                  <pic:nvPicPr>
                    <pic:cNvPr id="100" name="Chart"/>
                    <pic:cNvPicPr/>
                  </pic:nvPicPr>
                  <pic:blipFill>
                    <a:blip r:embed="rId7"/>
                    <a:stretch>
                      <a:fillRect/>
                    </a:stretch>
                  </pic:blipFill>
                  <pic:spPr>
                    <a:xfrm>
                      <a:off x="0" y="0"/>
                      <a:ext cx="4953000" cy="2667000"/>
                    </a:xfrm>
                    <a:prstGeom prst="rect">
                      <a:avLst/>
                    </a:prstGeom>
                  </pic:spPr>
                </pic:pic>
              </a:graphicData>
            </a:graphic>
          </wp:inline>
        </w:drawing>
      </w:r>
    </w:p>
    <w:p w14:paraId="0FA9A00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图6-</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物流全链路各环节平均耗时对比图</w:t>
      </w:r>
    </w:p>
    <w:p w14:paraId="4A524E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全链路拆解发现，“下单→仓库处理”环节耗时超标最为严重（超出行业基准10小时），是物流时效的核心瓶颈。进一步分析发现，大促期间订单量激增导致仓库分拣压力骤升，分拣人员临时扩编但培训不足，分拣错误率上升导致复核环节耗时增加。</w:t>
      </w:r>
    </w:p>
    <w:p w14:paraId="2C6442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区域时效对比分析。将物流时效按收货区域进行拆分对比，识别不同区域的配送效率差异，为差异化物流方案提供依据。以“智享科技”为例，将全国分为六大区域进行对比分析，结果如表6-3所示。</w:t>
      </w:r>
    </w:p>
    <w:p w14:paraId="5654001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表6-3 各区域物流时效对比分析</w:t>
      </w:r>
    </w:p>
    <w:tbl>
      <w:tblPr>
        <w:tblStyle w:val="11"/>
        <w:tblW w:w="93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4"/>
        <w:gridCol w:w="1394"/>
        <w:gridCol w:w="1792"/>
        <w:gridCol w:w="1394"/>
        <w:gridCol w:w="1394"/>
        <w:gridCol w:w="1951"/>
      </w:tblGrid>
      <w:tr w14:paraId="3E2B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2" w:hRule="atLeast"/>
          <w:tblHeader/>
          <w:jc w:val="center"/>
        </w:trPr>
        <w:tc>
          <w:tcPr>
            <w:tcW w:w="1394"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47D810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收货区域</w:t>
            </w:r>
          </w:p>
        </w:tc>
        <w:tc>
          <w:tcPr>
            <w:tcW w:w="1394"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1DD219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订单量（单）</w:t>
            </w:r>
          </w:p>
        </w:tc>
        <w:tc>
          <w:tcPr>
            <w:tcW w:w="1792"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41797C0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平均送货时间（天）</w:t>
            </w:r>
          </w:p>
        </w:tc>
        <w:tc>
          <w:tcPr>
            <w:tcW w:w="1394"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003F123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准时送达率</w:t>
            </w:r>
          </w:p>
        </w:tc>
        <w:tc>
          <w:tcPr>
            <w:tcW w:w="1394"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00C4E0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包裹完好率</w:t>
            </w:r>
          </w:p>
        </w:tc>
        <w:tc>
          <w:tcPr>
            <w:tcW w:w="1951"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7FF0EF7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单位物流成本（元）</w:t>
            </w:r>
          </w:p>
        </w:tc>
      </w:tr>
      <w:tr w14:paraId="4E1D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1" w:hRule="atLeast"/>
          <w:jc w:val="center"/>
        </w:trPr>
        <w:tc>
          <w:tcPr>
            <w:tcW w:w="1394" w:type="dxa"/>
            <w:tcBorders>
              <w:top w:val="single" w:color="000000" w:sz="0" w:space="0"/>
              <w:left w:val="single" w:color="000000" w:sz="0" w:space="0"/>
              <w:bottom w:val="single" w:color="000000" w:sz="0" w:space="0"/>
              <w:right w:val="single" w:color="000000" w:sz="0" w:space="0"/>
            </w:tcBorders>
            <w:vAlign w:val="center"/>
          </w:tcPr>
          <w:p w14:paraId="56BCB86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华东地区</w:t>
            </w:r>
          </w:p>
        </w:tc>
        <w:tc>
          <w:tcPr>
            <w:tcW w:w="1394" w:type="dxa"/>
            <w:tcBorders>
              <w:top w:val="single" w:color="000000" w:sz="0" w:space="0"/>
              <w:left w:val="single" w:color="000000" w:sz="0" w:space="0"/>
              <w:bottom w:val="single" w:color="000000" w:sz="0" w:space="0"/>
              <w:right w:val="single" w:color="000000" w:sz="0" w:space="0"/>
            </w:tcBorders>
            <w:vAlign w:val="center"/>
          </w:tcPr>
          <w:p w14:paraId="793E85E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18500</w:t>
            </w:r>
          </w:p>
        </w:tc>
        <w:tc>
          <w:tcPr>
            <w:tcW w:w="1792" w:type="dxa"/>
            <w:tcBorders>
              <w:top w:val="single" w:color="000000" w:sz="0" w:space="0"/>
              <w:left w:val="single" w:color="000000" w:sz="0" w:space="0"/>
              <w:bottom w:val="single" w:color="000000" w:sz="0" w:space="0"/>
              <w:right w:val="single" w:color="000000" w:sz="0" w:space="0"/>
            </w:tcBorders>
            <w:vAlign w:val="center"/>
          </w:tcPr>
          <w:p w14:paraId="514DC6D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2.8</w:t>
            </w:r>
          </w:p>
        </w:tc>
        <w:tc>
          <w:tcPr>
            <w:tcW w:w="1394" w:type="dxa"/>
            <w:tcBorders>
              <w:top w:val="single" w:color="000000" w:sz="0" w:space="0"/>
              <w:left w:val="single" w:color="000000" w:sz="0" w:space="0"/>
              <w:bottom w:val="single" w:color="000000" w:sz="0" w:space="0"/>
              <w:right w:val="single" w:color="000000" w:sz="0" w:space="0"/>
            </w:tcBorders>
            <w:vAlign w:val="center"/>
          </w:tcPr>
          <w:p w14:paraId="2B9CFAB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96.5%</w:t>
            </w:r>
          </w:p>
        </w:tc>
        <w:tc>
          <w:tcPr>
            <w:tcW w:w="1394" w:type="dxa"/>
            <w:tcBorders>
              <w:top w:val="single" w:color="000000" w:sz="0" w:space="0"/>
              <w:left w:val="single" w:color="000000" w:sz="0" w:space="0"/>
              <w:bottom w:val="single" w:color="000000" w:sz="0" w:space="0"/>
              <w:right w:val="single" w:color="000000" w:sz="0" w:space="0"/>
            </w:tcBorders>
            <w:vAlign w:val="center"/>
          </w:tcPr>
          <w:p w14:paraId="2D5EBC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98.2%</w:t>
            </w:r>
          </w:p>
        </w:tc>
        <w:tc>
          <w:tcPr>
            <w:tcW w:w="1951" w:type="dxa"/>
            <w:tcBorders>
              <w:top w:val="single" w:color="000000" w:sz="0" w:space="0"/>
              <w:left w:val="single" w:color="000000" w:sz="0" w:space="0"/>
              <w:bottom w:val="single" w:color="000000" w:sz="0" w:space="0"/>
              <w:right w:val="single" w:color="000000" w:sz="0" w:space="0"/>
            </w:tcBorders>
            <w:vAlign w:val="center"/>
          </w:tcPr>
          <w:p w14:paraId="1C98497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5.2</w:t>
            </w:r>
          </w:p>
        </w:tc>
      </w:tr>
      <w:tr w14:paraId="2BF0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1" w:hRule="atLeast"/>
          <w:jc w:val="center"/>
        </w:trPr>
        <w:tc>
          <w:tcPr>
            <w:tcW w:w="1394" w:type="dxa"/>
            <w:tcBorders>
              <w:top w:val="single" w:color="000000" w:sz="0" w:space="0"/>
              <w:left w:val="single" w:color="000000" w:sz="0" w:space="0"/>
              <w:bottom w:val="single" w:color="000000" w:sz="0" w:space="0"/>
              <w:right w:val="single" w:color="000000" w:sz="0" w:space="0"/>
            </w:tcBorders>
            <w:vAlign w:val="center"/>
          </w:tcPr>
          <w:p w14:paraId="7E71AA7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华南地区</w:t>
            </w:r>
          </w:p>
        </w:tc>
        <w:tc>
          <w:tcPr>
            <w:tcW w:w="1394" w:type="dxa"/>
            <w:tcBorders>
              <w:top w:val="single" w:color="000000" w:sz="0" w:space="0"/>
              <w:left w:val="single" w:color="000000" w:sz="0" w:space="0"/>
              <w:bottom w:val="single" w:color="000000" w:sz="0" w:space="0"/>
              <w:right w:val="single" w:color="000000" w:sz="0" w:space="0"/>
            </w:tcBorders>
            <w:vAlign w:val="center"/>
          </w:tcPr>
          <w:p w14:paraId="0A19346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12300</w:t>
            </w:r>
          </w:p>
        </w:tc>
        <w:tc>
          <w:tcPr>
            <w:tcW w:w="1792" w:type="dxa"/>
            <w:tcBorders>
              <w:top w:val="single" w:color="000000" w:sz="0" w:space="0"/>
              <w:left w:val="single" w:color="000000" w:sz="0" w:space="0"/>
              <w:bottom w:val="single" w:color="000000" w:sz="0" w:space="0"/>
              <w:right w:val="single" w:color="000000" w:sz="0" w:space="0"/>
            </w:tcBorders>
            <w:vAlign w:val="center"/>
          </w:tcPr>
          <w:p w14:paraId="7B5A88F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3.1</w:t>
            </w:r>
          </w:p>
        </w:tc>
        <w:tc>
          <w:tcPr>
            <w:tcW w:w="1394" w:type="dxa"/>
            <w:tcBorders>
              <w:top w:val="single" w:color="000000" w:sz="0" w:space="0"/>
              <w:left w:val="single" w:color="000000" w:sz="0" w:space="0"/>
              <w:bottom w:val="single" w:color="000000" w:sz="0" w:space="0"/>
              <w:right w:val="single" w:color="000000" w:sz="0" w:space="0"/>
            </w:tcBorders>
            <w:vAlign w:val="center"/>
          </w:tcPr>
          <w:p w14:paraId="14D2FED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94.8%</w:t>
            </w:r>
          </w:p>
        </w:tc>
        <w:tc>
          <w:tcPr>
            <w:tcW w:w="1394" w:type="dxa"/>
            <w:tcBorders>
              <w:top w:val="single" w:color="000000" w:sz="0" w:space="0"/>
              <w:left w:val="single" w:color="000000" w:sz="0" w:space="0"/>
              <w:bottom w:val="single" w:color="000000" w:sz="0" w:space="0"/>
              <w:right w:val="single" w:color="000000" w:sz="0" w:space="0"/>
            </w:tcBorders>
            <w:vAlign w:val="center"/>
          </w:tcPr>
          <w:p w14:paraId="7D746E2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97.8%</w:t>
            </w:r>
          </w:p>
        </w:tc>
        <w:tc>
          <w:tcPr>
            <w:tcW w:w="1951" w:type="dxa"/>
            <w:tcBorders>
              <w:top w:val="single" w:color="000000" w:sz="0" w:space="0"/>
              <w:left w:val="single" w:color="000000" w:sz="0" w:space="0"/>
              <w:bottom w:val="single" w:color="000000" w:sz="0" w:space="0"/>
              <w:right w:val="single" w:color="000000" w:sz="0" w:space="0"/>
            </w:tcBorders>
            <w:vAlign w:val="center"/>
          </w:tcPr>
          <w:p w14:paraId="388019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5.8</w:t>
            </w:r>
          </w:p>
        </w:tc>
      </w:tr>
      <w:tr w14:paraId="45C3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1" w:hRule="atLeast"/>
          <w:jc w:val="center"/>
        </w:trPr>
        <w:tc>
          <w:tcPr>
            <w:tcW w:w="1394" w:type="dxa"/>
            <w:tcBorders>
              <w:top w:val="single" w:color="000000" w:sz="0" w:space="0"/>
              <w:left w:val="single" w:color="000000" w:sz="0" w:space="0"/>
              <w:bottom w:val="single" w:color="000000" w:sz="0" w:space="0"/>
              <w:right w:val="single" w:color="000000" w:sz="0" w:space="0"/>
            </w:tcBorders>
            <w:vAlign w:val="center"/>
          </w:tcPr>
          <w:p w14:paraId="2787AAE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华北地区</w:t>
            </w:r>
          </w:p>
        </w:tc>
        <w:tc>
          <w:tcPr>
            <w:tcW w:w="1394" w:type="dxa"/>
            <w:tcBorders>
              <w:top w:val="single" w:color="000000" w:sz="0" w:space="0"/>
              <w:left w:val="single" w:color="000000" w:sz="0" w:space="0"/>
              <w:bottom w:val="single" w:color="000000" w:sz="0" w:space="0"/>
              <w:right w:val="single" w:color="000000" w:sz="0" w:space="0"/>
            </w:tcBorders>
            <w:vAlign w:val="center"/>
          </w:tcPr>
          <w:p w14:paraId="193E08E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10800</w:t>
            </w:r>
          </w:p>
        </w:tc>
        <w:tc>
          <w:tcPr>
            <w:tcW w:w="1792" w:type="dxa"/>
            <w:tcBorders>
              <w:top w:val="single" w:color="000000" w:sz="0" w:space="0"/>
              <w:left w:val="single" w:color="000000" w:sz="0" w:space="0"/>
              <w:bottom w:val="single" w:color="000000" w:sz="0" w:space="0"/>
              <w:right w:val="single" w:color="000000" w:sz="0" w:space="0"/>
            </w:tcBorders>
            <w:vAlign w:val="center"/>
          </w:tcPr>
          <w:p w14:paraId="3CD1F60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3.5</w:t>
            </w:r>
          </w:p>
        </w:tc>
        <w:tc>
          <w:tcPr>
            <w:tcW w:w="1394" w:type="dxa"/>
            <w:tcBorders>
              <w:top w:val="single" w:color="000000" w:sz="0" w:space="0"/>
              <w:left w:val="single" w:color="000000" w:sz="0" w:space="0"/>
              <w:bottom w:val="single" w:color="000000" w:sz="0" w:space="0"/>
              <w:right w:val="single" w:color="000000" w:sz="0" w:space="0"/>
            </w:tcBorders>
            <w:vAlign w:val="center"/>
          </w:tcPr>
          <w:p w14:paraId="5A7465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92.3%</w:t>
            </w:r>
          </w:p>
        </w:tc>
        <w:tc>
          <w:tcPr>
            <w:tcW w:w="1394" w:type="dxa"/>
            <w:tcBorders>
              <w:top w:val="single" w:color="000000" w:sz="0" w:space="0"/>
              <w:left w:val="single" w:color="000000" w:sz="0" w:space="0"/>
              <w:bottom w:val="single" w:color="000000" w:sz="0" w:space="0"/>
              <w:right w:val="single" w:color="000000" w:sz="0" w:space="0"/>
            </w:tcBorders>
            <w:vAlign w:val="center"/>
          </w:tcPr>
          <w:p w14:paraId="57D1F92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97.5%</w:t>
            </w:r>
          </w:p>
        </w:tc>
        <w:tc>
          <w:tcPr>
            <w:tcW w:w="1951" w:type="dxa"/>
            <w:tcBorders>
              <w:top w:val="single" w:color="000000" w:sz="0" w:space="0"/>
              <w:left w:val="single" w:color="000000" w:sz="0" w:space="0"/>
              <w:bottom w:val="single" w:color="000000" w:sz="0" w:space="0"/>
              <w:right w:val="single" w:color="000000" w:sz="0" w:space="0"/>
            </w:tcBorders>
            <w:vAlign w:val="center"/>
          </w:tcPr>
          <w:p w14:paraId="45E0E01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6.5</w:t>
            </w:r>
          </w:p>
        </w:tc>
      </w:tr>
      <w:tr w14:paraId="70FA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1" w:hRule="atLeast"/>
          <w:jc w:val="center"/>
        </w:trPr>
        <w:tc>
          <w:tcPr>
            <w:tcW w:w="1394" w:type="dxa"/>
            <w:tcBorders>
              <w:top w:val="single" w:color="000000" w:sz="0" w:space="0"/>
              <w:left w:val="single" w:color="000000" w:sz="0" w:space="0"/>
              <w:bottom w:val="single" w:color="000000" w:sz="0" w:space="0"/>
              <w:right w:val="single" w:color="000000" w:sz="0" w:space="0"/>
            </w:tcBorders>
            <w:vAlign w:val="center"/>
          </w:tcPr>
          <w:p w14:paraId="2B1A281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华中地区</w:t>
            </w:r>
          </w:p>
        </w:tc>
        <w:tc>
          <w:tcPr>
            <w:tcW w:w="1394" w:type="dxa"/>
            <w:tcBorders>
              <w:top w:val="single" w:color="000000" w:sz="0" w:space="0"/>
              <w:left w:val="single" w:color="000000" w:sz="0" w:space="0"/>
              <w:bottom w:val="single" w:color="000000" w:sz="0" w:space="0"/>
              <w:right w:val="single" w:color="000000" w:sz="0" w:space="0"/>
            </w:tcBorders>
            <w:vAlign w:val="center"/>
          </w:tcPr>
          <w:p w14:paraId="04C8F9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8600</w:t>
            </w:r>
          </w:p>
        </w:tc>
        <w:tc>
          <w:tcPr>
            <w:tcW w:w="1792" w:type="dxa"/>
            <w:tcBorders>
              <w:top w:val="single" w:color="000000" w:sz="0" w:space="0"/>
              <w:left w:val="single" w:color="000000" w:sz="0" w:space="0"/>
              <w:bottom w:val="single" w:color="000000" w:sz="0" w:space="0"/>
              <w:right w:val="single" w:color="000000" w:sz="0" w:space="0"/>
            </w:tcBorders>
            <w:vAlign w:val="center"/>
          </w:tcPr>
          <w:p w14:paraId="0A42965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4.2</w:t>
            </w:r>
          </w:p>
        </w:tc>
        <w:tc>
          <w:tcPr>
            <w:tcW w:w="1394" w:type="dxa"/>
            <w:tcBorders>
              <w:top w:val="single" w:color="000000" w:sz="0" w:space="0"/>
              <w:left w:val="single" w:color="000000" w:sz="0" w:space="0"/>
              <w:bottom w:val="single" w:color="000000" w:sz="0" w:space="0"/>
              <w:right w:val="single" w:color="000000" w:sz="0" w:space="0"/>
            </w:tcBorders>
            <w:vAlign w:val="center"/>
          </w:tcPr>
          <w:p w14:paraId="3B062BF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88.6%</w:t>
            </w:r>
          </w:p>
        </w:tc>
        <w:tc>
          <w:tcPr>
            <w:tcW w:w="1394" w:type="dxa"/>
            <w:tcBorders>
              <w:top w:val="single" w:color="000000" w:sz="0" w:space="0"/>
              <w:left w:val="single" w:color="000000" w:sz="0" w:space="0"/>
              <w:bottom w:val="single" w:color="000000" w:sz="0" w:space="0"/>
              <w:right w:val="single" w:color="000000" w:sz="0" w:space="0"/>
            </w:tcBorders>
            <w:vAlign w:val="center"/>
          </w:tcPr>
          <w:p w14:paraId="132C61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96.8%</w:t>
            </w:r>
          </w:p>
        </w:tc>
        <w:tc>
          <w:tcPr>
            <w:tcW w:w="1951" w:type="dxa"/>
            <w:tcBorders>
              <w:top w:val="single" w:color="000000" w:sz="0" w:space="0"/>
              <w:left w:val="single" w:color="000000" w:sz="0" w:space="0"/>
              <w:bottom w:val="single" w:color="000000" w:sz="0" w:space="0"/>
              <w:right w:val="single" w:color="000000" w:sz="0" w:space="0"/>
            </w:tcBorders>
            <w:vAlign w:val="center"/>
          </w:tcPr>
          <w:p w14:paraId="7C47C88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7.8</w:t>
            </w:r>
          </w:p>
        </w:tc>
      </w:tr>
      <w:tr w14:paraId="693A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1" w:hRule="atLeast"/>
          <w:jc w:val="center"/>
        </w:trPr>
        <w:tc>
          <w:tcPr>
            <w:tcW w:w="1394" w:type="dxa"/>
            <w:tcBorders>
              <w:top w:val="single" w:color="000000" w:sz="0" w:space="0"/>
              <w:left w:val="single" w:color="000000" w:sz="0" w:space="0"/>
              <w:bottom w:val="single" w:color="000000" w:sz="0" w:space="0"/>
              <w:right w:val="single" w:color="000000" w:sz="0" w:space="0"/>
            </w:tcBorders>
            <w:vAlign w:val="center"/>
          </w:tcPr>
          <w:p w14:paraId="527FCA8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西南地区</w:t>
            </w:r>
          </w:p>
        </w:tc>
        <w:tc>
          <w:tcPr>
            <w:tcW w:w="1394" w:type="dxa"/>
            <w:tcBorders>
              <w:top w:val="single" w:color="000000" w:sz="0" w:space="0"/>
              <w:left w:val="single" w:color="000000" w:sz="0" w:space="0"/>
              <w:bottom w:val="single" w:color="000000" w:sz="0" w:space="0"/>
              <w:right w:val="single" w:color="000000" w:sz="0" w:space="0"/>
            </w:tcBorders>
            <w:vAlign w:val="center"/>
          </w:tcPr>
          <w:p w14:paraId="5298740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6200</w:t>
            </w:r>
          </w:p>
        </w:tc>
        <w:tc>
          <w:tcPr>
            <w:tcW w:w="1792" w:type="dxa"/>
            <w:tcBorders>
              <w:top w:val="single" w:color="000000" w:sz="0" w:space="0"/>
              <w:left w:val="single" w:color="000000" w:sz="0" w:space="0"/>
              <w:bottom w:val="single" w:color="000000" w:sz="0" w:space="0"/>
              <w:right w:val="single" w:color="000000" w:sz="0" w:space="0"/>
            </w:tcBorders>
            <w:vAlign w:val="center"/>
          </w:tcPr>
          <w:p w14:paraId="4958C5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5.5</w:t>
            </w:r>
          </w:p>
        </w:tc>
        <w:tc>
          <w:tcPr>
            <w:tcW w:w="1394" w:type="dxa"/>
            <w:tcBorders>
              <w:top w:val="single" w:color="000000" w:sz="0" w:space="0"/>
              <w:left w:val="single" w:color="000000" w:sz="0" w:space="0"/>
              <w:bottom w:val="single" w:color="000000" w:sz="0" w:space="0"/>
              <w:right w:val="single" w:color="000000" w:sz="0" w:space="0"/>
            </w:tcBorders>
            <w:vAlign w:val="center"/>
          </w:tcPr>
          <w:p w14:paraId="1AA2552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82.1%</w:t>
            </w:r>
          </w:p>
        </w:tc>
        <w:tc>
          <w:tcPr>
            <w:tcW w:w="1394" w:type="dxa"/>
            <w:tcBorders>
              <w:top w:val="single" w:color="000000" w:sz="0" w:space="0"/>
              <w:left w:val="single" w:color="000000" w:sz="0" w:space="0"/>
              <w:bottom w:val="single" w:color="000000" w:sz="0" w:space="0"/>
              <w:right w:val="single" w:color="000000" w:sz="0" w:space="0"/>
            </w:tcBorders>
            <w:vAlign w:val="center"/>
          </w:tcPr>
          <w:p w14:paraId="17B672D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95.3%</w:t>
            </w:r>
          </w:p>
        </w:tc>
        <w:tc>
          <w:tcPr>
            <w:tcW w:w="1951" w:type="dxa"/>
            <w:tcBorders>
              <w:top w:val="single" w:color="000000" w:sz="0" w:space="0"/>
              <w:left w:val="single" w:color="000000" w:sz="0" w:space="0"/>
              <w:bottom w:val="single" w:color="000000" w:sz="0" w:space="0"/>
              <w:right w:val="single" w:color="000000" w:sz="0" w:space="0"/>
            </w:tcBorders>
            <w:vAlign w:val="center"/>
          </w:tcPr>
          <w:p w14:paraId="37670C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9.2</w:t>
            </w:r>
          </w:p>
        </w:tc>
      </w:tr>
      <w:tr w14:paraId="0AEA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2" w:hRule="atLeast"/>
          <w:jc w:val="center"/>
        </w:trPr>
        <w:tc>
          <w:tcPr>
            <w:tcW w:w="1394" w:type="dxa"/>
            <w:tcBorders>
              <w:top w:val="single" w:color="000000" w:sz="0" w:space="0"/>
              <w:left w:val="single" w:color="000000" w:sz="0" w:space="0"/>
              <w:bottom w:val="single" w:color="000000" w:sz="0" w:space="0"/>
              <w:right w:val="single" w:color="000000" w:sz="0" w:space="0"/>
            </w:tcBorders>
            <w:vAlign w:val="center"/>
          </w:tcPr>
          <w:p w14:paraId="66A7F4C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东北地区</w:t>
            </w:r>
          </w:p>
        </w:tc>
        <w:tc>
          <w:tcPr>
            <w:tcW w:w="1394" w:type="dxa"/>
            <w:tcBorders>
              <w:top w:val="single" w:color="000000" w:sz="0" w:space="0"/>
              <w:left w:val="single" w:color="000000" w:sz="0" w:space="0"/>
              <w:bottom w:val="single" w:color="000000" w:sz="0" w:space="0"/>
              <w:right w:val="single" w:color="000000" w:sz="0" w:space="0"/>
            </w:tcBorders>
            <w:vAlign w:val="center"/>
          </w:tcPr>
          <w:p w14:paraId="274B947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4100</w:t>
            </w:r>
          </w:p>
        </w:tc>
        <w:tc>
          <w:tcPr>
            <w:tcW w:w="1792" w:type="dxa"/>
            <w:tcBorders>
              <w:top w:val="single" w:color="000000" w:sz="0" w:space="0"/>
              <w:left w:val="single" w:color="000000" w:sz="0" w:space="0"/>
              <w:bottom w:val="single" w:color="000000" w:sz="0" w:space="0"/>
              <w:right w:val="single" w:color="000000" w:sz="0" w:space="0"/>
            </w:tcBorders>
            <w:vAlign w:val="center"/>
          </w:tcPr>
          <w:p w14:paraId="3FB280D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6.8</w:t>
            </w:r>
          </w:p>
        </w:tc>
        <w:tc>
          <w:tcPr>
            <w:tcW w:w="1394" w:type="dxa"/>
            <w:tcBorders>
              <w:top w:val="single" w:color="000000" w:sz="0" w:space="0"/>
              <w:left w:val="single" w:color="000000" w:sz="0" w:space="0"/>
              <w:bottom w:val="single" w:color="000000" w:sz="0" w:space="0"/>
              <w:right w:val="single" w:color="000000" w:sz="0" w:space="0"/>
            </w:tcBorders>
            <w:vAlign w:val="center"/>
          </w:tcPr>
          <w:p w14:paraId="18B8516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75.4%</w:t>
            </w:r>
          </w:p>
        </w:tc>
        <w:tc>
          <w:tcPr>
            <w:tcW w:w="1394" w:type="dxa"/>
            <w:tcBorders>
              <w:top w:val="single" w:color="000000" w:sz="0" w:space="0"/>
              <w:left w:val="single" w:color="000000" w:sz="0" w:space="0"/>
              <w:bottom w:val="single" w:color="000000" w:sz="0" w:space="0"/>
              <w:right w:val="single" w:color="000000" w:sz="0" w:space="0"/>
            </w:tcBorders>
            <w:vAlign w:val="center"/>
          </w:tcPr>
          <w:p w14:paraId="7E8AF91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94.1%</w:t>
            </w:r>
          </w:p>
        </w:tc>
        <w:tc>
          <w:tcPr>
            <w:tcW w:w="1951" w:type="dxa"/>
            <w:tcBorders>
              <w:top w:val="single" w:color="000000" w:sz="0" w:space="0"/>
              <w:left w:val="single" w:color="000000" w:sz="0" w:space="0"/>
              <w:bottom w:val="single" w:color="000000" w:sz="0" w:space="0"/>
              <w:right w:val="single" w:color="000000" w:sz="0" w:space="0"/>
            </w:tcBorders>
            <w:vAlign w:val="center"/>
          </w:tcPr>
          <w:p w14:paraId="1B5853A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11.5</w:t>
            </w:r>
          </w:p>
        </w:tc>
      </w:tr>
    </w:tbl>
    <w:p w14:paraId="47939A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4953000" cy="2898140"/>
            <wp:effectExtent l="0" t="0" r="0" b="16510"/>
            <wp:docPr id="4" name="Chart"/>
            <wp:cNvGraphicFramePr/>
            <a:graphic xmlns:a="http://schemas.openxmlformats.org/drawingml/2006/main">
              <a:graphicData uri="http://schemas.openxmlformats.org/drawingml/2006/picture">
                <pic:pic xmlns:pic="http://schemas.openxmlformats.org/drawingml/2006/picture">
                  <pic:nvPicPr>
                    <pic:cNvPr id="4" name="Chart"/>
                    <pic:cNvPicPr/>
                  </pic:nvPicPr>
                  <pic:blipFill>
                    <a:blip r:embed="rId8"/>
                    <a:stretch>
                      <a:fillRect/>
                    </a:stretch>
                  </pic:blipFill>
                  <pic:spPr>
                    <a:xfrm>
                      <a:off x="0" y="0"/>
                      <a:ext cx="4953000" cy="2898140"/>
                    </a:xfrm>
                    <a:prstGeom prst="rect">
                      <a:avLst/>
                    </a:prstGeom>
                  </pic:spPr>
                </pic:pic>
              </a:graphicData>
            </a:graphic>
          </wp:inline>
        </w:drawing>
      </w:r>
    </w:p>
    <w:p w14:paraId="25943C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图6-</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 各区域物流时效与服务质量对比图</w:t>
      </w:r>
    </w:p>
    <w:p w14:paraId="3E9117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区域对比发现，华东、华南地区物流效率较高，准时送达率超过94%；西南、东北地区物流效率明显偏低，准时送达率低于83%，且单位物流成本显著偏高。需针对偏远区域制定专项物流优化方案，如增设区域前置仓、优化物流商合作等。</w:t>
      </w:r>
    </w:p>
    <w:p w14:paraId="215BA1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项目实操</w:t>
      </w:r>
    </w:p>
    <w:p w14:paraId="30C251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本实操项目基于某综合电商平台2026年1月的真实脱敏订单数据，涵盖服饰、3C、食品等主流品类，包含近万条订单记录与完整物流节点信息。学生将通过该项目掌握物流时效数据的清洗、计算、分组对比与可视化分析全流程，最终形成针对不同物流服务商与配送区域的时效优化建议。</w:t>
      </w:r>
    </w:p>
    <w:p w14:paraId="5AD637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rPr>
        <w:t>数据准备</w:t>
      </w:r>
    </w:p>
    <w:p w14:paraId="6693F2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本项目提供名为“物流时效分析数据集.xlsx”的Excel文件，包含“订单信息表”“物流轨迹表”“服务商信息表”三个工作表，核心字段如下：</w:t>
      </w:r>
    </w:p>
    <w:p w14:paraId="585A81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订单信息表：订单编号、商品品类、下单时间、承诺送达时间、实际签收时间、收货省份、收货城市、订单金额、包裹重量。</w:t>
      </w:r>
    </w:p>
    <w:p w14:paraId="3BCC73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物流轨迹表：订单编号、节点操作时间、节点类型（出库、干线发运、干线到达、末端揽收、末端派送）、操作人员。</w:t>
      </w:r>
    </w:p>
    <w:p w14:paraId="6F5715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服务商信息表：订单编号、承运物流公司、运输方式（空运、陆运、同城配）。</w:t>
      </w:r>
    </w:p>
    <w:p w14:paraId="16D17C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实操步骤</w:t>
      </w:r>
    </w:p>
    <w:p w14:paraId="0617CD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步骤1数据导入与关联整合</w:t>
      </w:r>
    </w:p>
    <w:p w14:paraId="274A03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打开Excel文件，将三个工作表通过“订单编号”字段进行数据关联。使用“数据”选项卡中的“合并计算”功能，将物流轨迹表的节点时间与订单信息表的基础数据进行匹配，确保每笔订单都能对应完整的物流节点记录。完成关联后，删除无匹配结果的无效订单，保留有效分析样本。</w:t>
      </w:r>
    </w:p>
    <w:p w14:paraId="0A7B44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步骤2时效指标字段构建</w:t>
      </w:r>
    </w:p>
    <w:p w14:paraId="7161D1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整合后的表格中新建列，依次构建核心时效指标。计算“全链路履约时长”，用实际签收时间减去下单时间，设置单元格格式为“小时”。计算“干线运输时长”，用“干线到达”节点时间减去“干线发运”节点时间。计算“末端配送时长”，用实际签收时间减去“末端揽收”节点时间。计算“超时时长”，用实际签收时间减去承诺送达时间，若结果为负则标记为0，代表未超时。</w:t>
      </w:r>
    </w:p>
    <w:p w14:paraId="695A31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步骤3数据清洗与异常值处理</w:t>
      </w:r>
    </w:p>
    <w:p w14:paraId="6E63CC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筛选出全链路履约时长小于2小时或大于168小时的订单，此类数据多为测试单或异常订单，直接删除。检查物流节点时间的逻辑顺序，若出现“干线到达”时间早于“干线发运”时间的记录，标记为数据错误并剔除。完成清洗后，对剩余数据进行重复值检查，删除重复的订单编号记录，保证分析样本的唯一性。</w:t>
      </w:r>
    </w:p>
    <w:p w14:paraId="7FBAED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步骤4多维度时效分组分析</w:t>
      </w:r>
    </w:p>
    <w:p w14:paraId="548CC6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插入数据透视表，将“行”区域设置为“承运物流公司”，“列”区域设置为“商品品类”，“值”区域设置为“全链路履约时长”并选择“平均值”。生成透视表后，新增“收货省份”作为筛选条件，分别查看华东、华北、西南地区的时效表现。再次插入数据透视表，将“行”区域设置为“运输方式”，“值”区域分别添加“全链路履约时长”“干线运输时长”“末端配送时长”，均选择“平均值”，对比不同运输方式下各环节的耗时差异。</w:t>
      </w:r>
    </w:p>
    <w:p w14:paraId="0869E9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步骤5准时送达率计算与超时归因</w:t>
      </w:r>
    </w:p>
    <w:p w14:paraId="2E582B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原数据表中新建“是否超时”列，使用IF函数判断实际签收时间是否晚于承诺送达时间，满足条件则标记为“是”，否则标记为“否”。插入数据透视表，将“行”区域设置为“承运物流公司”，“列”区域设置为“是否超时”，“值”区域设置为“订单编号”并选择“计数”。通过计算超时订单数与总订单数的比值，得出各服务商的准时送达率。新增“收货城市”作为行标签，筛选出超时率前10的城市，结合运输方式分析超时的核心原因。</w:t>
      </w:r>
    </w:p>
    <w:p w14:paraId="36FC45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步骤6数据可视化与结论呈现</w:t>
      </w:r>
    </w:p>
    <w:p w14:paraId="74A8F0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基于数据透视表的结果，插入簇状柱形图，展示不同物流公司的平均全链路履约时长与准时送达率，设置双坐标轴使数据对比更清晰。插入折线图，展示不同运输方式下干线运输与末端配送的时长占比。结合图表与数据，撰写时效分析结论，明确时效表现最优的物流服务商、耗时最长的履约环节以及超时集中的区域，最终提出针对性的优化建议，如调整偏远地区运输方式、优化末端配送站点布局等。</w:t>
      </w:r>
    </w:p>
    <w:p w14:paraId="261B673C">
      <w:pPr>
        <w:pStyle w:val="4"/>
        <w:spacing w:line="360" w:lineRule="auto"/>
        <w:rPr>
          <w:rFonts w:hint="eastAsia" w:ascii="宋体" w:hAnsi="宋体" w:eastAsia="宋体" w:cs="宋体"/>
          <w:sz w:val="24"/>
          <w:szCs w:val="24"/>
        </w:rPr>
      </w:pPr>
      <w:r>
        <w:rPr>
          <w:rFonts w:hint="eastAsia" w:ascii="宋体" w:hAnsi="宋体" w:eastAsia="宋体" w:cs="宋体"/>
          <w:sz w:val="24"/>
          <w:szCs w:val="24"/>
        </w:rPr>
        <w:t>（二）物流成本分析</w:t>
      </w:r>
    </w:p>
    <w:p w14:paraId="21FD28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一、物流成本结构拆解。物流总成本可拆解为仓储成本、运输成本、包装成本、人工成本和管理成本五大类。以“智享科技”双十一期间数据为例，物流总成本为186万元，各成本构成如表6-4所示。</w:t>
      </w:r>
    </w:p>
    <w:p w14:paraId="585359C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表6-4 物流成本结构拆解</w:t>
      </w:r>
    </w:p>
    <w:tbl>
      <w:tblPr>
        <w:tblStyle w:val="11"/>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3"/>
        <w:gridCol w:w="909"/>
        <w:gridCol w:w="887"/>
        <w:gridCol w:w="1625"/>
        <w:gridCol w:w="1465"/>
        <w:gridCol w:w="2971"/>
      </w:tblGrid>
      <w:tr w14:paraId="26C3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03"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2AB032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成本类别</w:t>
            </w:r>
          </w:p>
        </w:tc>
        <w:tc>
          <w:tcPr>
            <w:tcW w:w="909"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384F90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金额</w:t>
            </w:r>
          </w:p>
          <w:p w14:paraId="0B0DD6D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（万元）</w:t>
            </w:r>
          </w:p>
        </w:tc>
        <w:tc>
          <w:tcPr>
            <w:tcW w:w="887"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00A5607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占比</w:t>
            </w:r>
          </w:p>
        </w:tc>
        <w:tc>
          <w:tcPr>
            <w:tcW w:w="1625"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552E84E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单位订单成本（元）</w:t>
            </w:r>
          </w:p>
        </w:tc>
        <w:tc>
          <w:tcPr>
            <w:tcW w:w="1465"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38D6B8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行业参考占比</w:t>
            </w:r>
          </w:p>
        </w:tc>
        <w:tc>
          <w:tcPr>
            <w:tcW w:w="2971"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7D2B2C5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诊断结果</w:t>
            </w:r>
          </w:p>
        </w:tc>
      </w:tr>
      <w:tr w14:paraId="114C7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3" w:type="dxa"/>
            <w:tcBorders>
              <w:top w:val="single" w:color="000000" w:sz="0" w:space="0"/>
              <w:left w:val="single" w:color="000000" w:sz="0" w:space="0"/>
              <w:bottom w:val="single" w:color="000000" w:sz="0" w:space="0"/>
              <w:right w:val="single" w:color="000000" w:sz="0" w:space="0"/>
            </w:tcBorders>
            <w:vAlign w:val="center"/>
          </w:tcPr>
          <w:p w14:paraId="07DC2B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仓储成本</w:t>
            </w:r>
          </w:p>
        </w:tc>
        <w:tc>
          <w:tcPr>
            <w:tcW w:w="909" w:type="dxa"/>
            <w:tcBorders>
              <w:top w:val="single" w:color="000000" w:sz="0" w:space="0"/>
              <w:left w:val="single" w:color="000000" w:sz="0" w:space="0"/>
              <w:bottom w:val="single" w:color="000000" w:sz="0" w:space="0"/>
              <w:right w:val="single" w:color="000000" w:sz="0" w:space="0"/>
            </w:tcBorders>
            <w:vAlign w:val="center"/>
          </w:tcPr>
          <w:p w14:paraId="07DE8D1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52.3</w:t>
            </w:r>
          </w:p>
        </w:tc>
        <w:tc>
          <w:tcPr>
            <w:tcW w:w="887" w:type="dxa"/>
            <w:tcBorders>
              <w:top w:val="single" w:color="000000" w:sz="0" w:space="0"/>
              <w:left w:val="single" w:color="000000" w:sz="0" w:space="0"/>
              <w:bottom w:val="single" w:color="000000" w:sz="0" w:space="0"/>
              <w:right w:val="single" w:color="000000" w:sz="0" w:space="0"/>
            </w:tcBorders>
            <w:vAlign w:val="center"/>
          </w:tcPr>
          <w:p w14:paraId="26AAC4E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28.1%</w:t>
            </w:r>
          </w:p>
        </w:tc>
        <w:tc>
          <w:tcPr>
            <w:tcW w:w="1625" w:type="dxa"/>
            <w:tcBorders>
              <w:top w:val="single" w:color="000000" w:sz="0" w:space="0"/>
              <w:left w:val="single" w:color="000000" w:sz="0" w:space="0"/>
              <w:bottom w:val="single" w:color="000000" w:sz="0" w:space="0"/>
              <w:right w:val="single" w:color="000000" w:sz="0" w:space="0"/>
            </w:tcBorders>
            <w:vAlign w:val="center"/>
          </w:tcPr>
          <w:p w14:paraId="0A2B9B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8.7</w:t>
            </w:r>
          </w:p>
        </w:tc>
        <w:tc>
          <w:tcPr>
            <w:tcW w:w="1465" w:type="dxa"/>
            <w:tcBorders>
              <w:top w:val="single" w:color="000000" w:sz="0" w:space="0"/>
              <w:left w:val="single" w:color="000000" w:sz="0" w:space="0"/>
              <w:bottom w:val="single" w:color="000000" w:sz="0" w:space="0"/>
              <w:right w:val="single" w:color="000000" w:sz="0" w:space="0"/>
            </w:tcBorders>
            <w:vAlign w:val="center"/>
          </w:tcPr>
          <w:p w14:paraId="075C04C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20%-25%</w:t>
            </w:r>
          </w:p>
        </w:tc>
        <w:tc>
          <w:tcPr>
            <w:tcW w:w="2971" w:type="dxa"/>
            <w:tcBorders>
              <w:top w:val="single" w:color="000000" w:sz="0" w:space="0"/>
              <w:left w:val="single" w:color="000000" w:sz="0" w:space="0"/>
              <w:bottom w:val="single" w:color="000000" w:sz="0" w:space="0"/>
              <w:right w:val="single" w:color="000000" w:sz="0" w:space="0"/>
            </w:tcBorders>
            <w:vAlign w:val="center"/>
          </w:tcPr>
          <w:p w14:paraId="14DF81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占比偏高，需优化库存周转和仓租</w:t>
            </w:r>
          </w:p>
        </w:tc>
      </w:tr>
      <w:tr w14:paraId="3379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3" w:type="dxa"/>
            <w:tcBorders>
              <w:top w:val="single" w:color="000000" w:sz="0" w:space="0"/>
              <w:left w:val="single" w:color="000000" w:sz="0" w:space="0"/>
              <w:bottom w:val="single" w:color="000000" w:sz="0" w:space="0"/>
              <w:right w:val="single" w:color="000000" w:sz="0" w:space="0"/>
            </w:tcBorders>
            <w:vAlign w:val="center"/>
          </w:tcPr>
          <w:p w14:paraId="5FAB761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运输成本（干线+末端）</w:t>
            </w:r>
          </w:p>
        </w:tc>
        <w:tc>
          <w:tcPr>
            <w:tcW w:w="909" w:type="dxa"/>
            <w:tcBorders>
              <w:top w:val="single" w:color="000000" w:sz="0" w:space="0"/>
              <w:left w:val="single" w:color="000000" w:sz="0" w:space="0"/>
              <w:bottom w:val="single" w:color="000000" w:sz="0" w:space="0"/>
              <w:right w:val="single" w:color="000000" w:sz="0" w:space="0"/>
            </w:tcBorders>
            <w:vAlign w:val="center"/>
          </w:tcPr>
          <w:p w14:paraId="19910C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68.1</w:t>
            </w:r>
          </w:p>
        </w:tc>
        <w:tc>
          <w:tcPr>
            <w:tcW w:w="887" w:type="dxa"/>
            <w:tcBorders>
              <w:top w:val="single" w:color="000000" w:sz="0" w:space="0"/>
              <w:left w:val="single" w:color="000000" w:sz="0" w:space="0"/>
              <w:bottom w:val="single" w:color="000000" w:sz="0" w:space="0"/>
              <w:right w:val="single" w:color="000000" w:sz="0" w:space="0"/>
            </w:tcBorders>
            <w:vAlign w:val="center"/>
          </w:tcPr>
          <w:p w14:paraId="763B6A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36.6%</w:t>
            </w:r>
          </w:p>
        </w:tc>
        <w:tc>
          <w:tcPr>
            <w:tcW w:w="1625" w:type="dxa"/>
            <w:tcBorders>
              <w:top w:val="single" w:color="000000" w:sz="0" w:space="0"/>
              <w:left w:val="single" w:color="000000" w:sz="0" w:space="0"/>
              <w:bottom w:val="single" w:color="000000" w:sz="0" w:space="0"/>
              <w:right w:val="single" w:color="000000" w:sz="0" w:space="0"/>
            </w:tcBorders>
            <w:vAlign w:val="center"/>
          </w:tcPr>
          <w:p w14:paraId="755DFC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11.4</w:t>
            </w:r>
          </w:p>
        </w:tc>
        <w:tc>
          <w:tcPr>
            <w:tcW w:w="1465" w:type="dxa"/>
            <w:tcBorders>
              <w:top w:val="single" w:color="000000" w:sz="0" w:space="0"/>
              <w:left w:val="single" w:color="000000" w:sz="0" w:space="0"/>
              <w:bottom w:val="single" w:color="000000" w:sz="0" w:space="0"/>
              <w:right w:val="single" w:color="000000" w:sz="0" w:space="0"/>
            </w:tcBorders>
            <w:vAlign w:val="center"/>
          </w:tcPr>
          <w:p w14:paraId="239392D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40%-45%</w:t>
            </w:r>
          </w:p>
        </w:tc>
        <w:tc>
          <w:tcPr>
            <w:tcW w:w="2971" w:type="dxa"/>
            <w:tcBorders>
              <w:top w:val="single" w:color="000000" w:sz="0" w:space="0"/>
              <w:left w:val="single" w:color="000000" w:sz="0" w:space="0"/>
              <w:bottom w:val="single" w:color="000000" w:sz="0" w:space="0"/>
              <w:right w:val="single" w:color="000000" w:sz="0" w:space="0"/>
            </w:tcBorders>
            <w:vAlign w:val="center"/>
          </w:tcPr>
          <w:p w14:paraId="3B3D75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占比合理，但偏远区域成本偏高</w:t>
            </w:r>
          </w:p>
        </w:tc>
      </w:tr>
      <w:tr w14:paraId="78C6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5" w:hRule="atLeast"/>
          <w:jc w:val="center"/>
        </w:trPr>
        <w:tc>
          <w:tcPr>
            <w:tcW w:w="1503" w:type="dxa"/>
            <w:tcBorders>
              <w:top w:val="single" w:color="000000" w:sz="0" w:space="0"/>
              <w:left w:val="single" w:color="000000" w:sz="0" w:space="0"/>
              <w:bottom w:val="single" w:color="000000" w:sz="0" w:space="0"/>
              <w:right w:val="single" w:color="000000" w:sz="0" w:space="0"/>
            </w:tcBorders>
            <w:vAlign w:val="center"/>
          </w:tcPr>
          <w:p w14:paraId="1FB532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包装成本</w:t>
            </w:r>
          </w:p>
        </w:tc>
        <w:tc>
          <w:tcPr>
            <w:tcW w:w="909" w:type="dxa"/>
            <w:tcBorders>
              <w:top w:val="single" w:color="000000" w:sz="0" w:space="0"/>
              <w:left w:val="single" w:color="000000" w:sz="0" w:space="0"/>
              <w:bottom w:val="single" w:color="000000" w:sz="0" w:space="0"/>
              <w:right w:val="single" w:color="000000" w:sz="0" w:space="0"/>
            </w:tcBorders>
            <w:vAlign w:val="center"/>
          </w:tcPr>
          <w:p w14:paraId="1460CAA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14.9</w:t>
            </w:r>
          </w:p>
        </w:tc>
        <w:tc>
          <w:tcPr>
            <w:tcW w:w="887" w:type="dxa"/>
            <w:tcBorders>
              <w:top w:val="single" w:color="000000" w:sz="0" w:space="0"/>
              <w:left w:val="single" w:color="000000" w:sz="0" w:space="0"/>
              <w:bottom w:val="single" w:color="000000" w:sz="0" w:space="0"/>
              <w:right w:val="single" w:color="000000" w:sz="0" w:space="0"/>
            </w:tcBorders>
            <w:vAlign w:val="center"/>
          </w:tcPr>
          <w:p w14:paraId="0CBE19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8.0%</w:t>
            </w:r>
          </w:p>
        </w:tc>
        <w:tc>
          <w:tcPr>
            <w:tcW w:w="1625" w:type="dxa"/>
            <w:tcBorders>
              <w:top w:val="single" w:color="000000" w:sz="0" w:space="0"/>
              <w:left w:val="single" w:color="000000" w:sz="0" w:space="0"/>
              <w:bottom w:val="single" w:color="000000" w:sz="0" w:space="0"/>
              <w:right w:val="single" w:color="000000" w:sz="0" w:space="0"/>
            </w:tcBorders>
            <w:vAlign w:val="center"/>
          </w:tcPr>
          <w:p w14:paraId="515C3F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2.5</w:t>
            </w:r>
          </w:p>
        </w:tc>
        <w:tc>
          <w:tcPr>
            <w:tcW w:w="1465" w:type="dxa"/>
            <w:tcBorders>
              <w:top w:val="single" w:color="000000" w:sz="0" w:space="0"/>
              <w:left w:val="single" w:color="000000" w:sz="0" w:space="0"/>
              <w:bottom w:val="single" w:color="000000" w:sz="0" w:space="0"/>
              <w:right w:val="single" w:color="000000" w:sz="0" w:space="0"/>
            </w:tcBorders>
            <w:vAlign w:val="center"/>
          </w:tcPr>
          <w:p w14:paraId="46D3B01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5%-8%</w:t>
            </w:r>
          </w:p>
        </w:tc>
        <w:tc>
          <w:tcPr>
            <w:tcW w:w="2971" w:type="dxa"/>
            <w:tcBorders>
              <w:top w:val="single" w:color="000000" w:sz="0" w:space="0"/>
              <w:left w:val="single" w:color="000000" w:sz="0" w:space="0"/>
              <w:bottom w:val="single" w:color="000000" w:sz="0" w:space="0"/>
              <w:right w:val="single" w:color="000000" w:sz="0" w:space="0"/>
            </w:tcBorders>
            <w:vAlign w:val="center"/>
          </w:tcPr>
          <w:p w14:paraId="41E1D7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占比略高，需优化包装材料采购</w:t>
            </w:r>
          </w:p>
        </w:tc>
      </w:tr>
      <w:tr w14:paraId="4162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jc w:val="center"/>
        </w:trPr>
        <w:tc>
          <w:tcPr>
            <w:tcW w:w="1503" w:type="dxa"/>
            <w:tcBorders>
              <w:top w:val="single" w:color="000000" w:sz="0" w:space="0"/>
              <w:left w:val="single" w:color="000000" w:sz="0" w:space="0"/>
              <w:bottom w:val="single" w:color="000000" w:sz="0" w:space="0"/>
              <w:right w:val="single" w:color="000000" w:sz="0" w:space="0"/>
            </w:tcBorders>
            <w:vAlign w:val="center"/>
          </w:tcPr>
          <w:p w14:paraId="6A49881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人工成本</w:t>
            </w:r>
          </w:p>
        </w:tc>
        <w:tc>
          <w:tcPr>
            <w:tcW w:w="909" w:type="dxa"/>
            <w:tcBorders>
              <w:top w:val="single" w:color="000000" w:sz="0" w:space="0"/>
              <w:left w:val="single" w:color="000000" w:sz="0" w:space="0"/>
              <w:bottom w:val="single" w:color="000000" w:sz="0" w:space="0"/>
              <w:right w:val="single" w:color="000000" w:sz="0" w:space="0"/>
            </w:tcBorders>
            <w:vAlign w:val="center"/>
          </w:tcPr>
          <w:p w14:paraId="758567B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37.2</w:t>
            </w:r>
          </w:p>
        </w:tc>
        <w:tc>
          <w:tcPr>
            <w:tcW w:w="887" w:type="dxa"/>
            <w:tcBorders>
              <w:top w:val="single" w:color="000000" w:sz="0" w:space="0"/>
              <w:left w:val="single" w:color="000000" w:sz="0" w:space="0"/>
              <w:bottom w:val="single" w:color="000000" w:sz="0" w:space="0"/>
              <w:right w:val="single" w:color="000000" w:sz="0" w:space="0"/>
            </w:tcBorders>
            <w:vAlign w:val="center"/>
          </w:tcPr>
          <w:p w14:paraId="12DF5AD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20.0%</w:t>
            </w:r>
          </w:p>
        </w:tc>
        <w:tc>
          <w:tcPr>
            <w:tcW w:w="1625" w:type="dxa"/>
            <w:tcBorders>
              <w:top w:val="single" w:color="000000" w:sz="0" w:space="0"/>
              <w:left w:val="single" w:color="000000" w:sz="0" w:space="0"/>
              <w:bottom w:val="single" w:color="000000" w:sz="0" w:space="0"/>
              <w:right w:val="single" w:color="000000" w:sz="0" w:space="0"/>
            </w:tcBorders>
            <w:vAlign w:val="center"/>
          </w:tcPr>
          <w:p w14:paraId="692624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6.2</w:t>
            </w:r>
          </w:p>
        </w:tc>
        <w:tc>
          <w:tcPr>
            <w:tcW w:w="1465" w:type="dxa"/>
            <w:tcBorders>
              <w:top w:val="single" w:color="000000" w:sz="0" w:space="0"/>
              <w:left w:val="single" w:color="000000" w:sz="0" w:space="0"/>
              <w:bottom w:val="single" w:color="000000" w:sz="0" w:space="0"/>
              <w:right w:val="single" w:color="000000" w:sz="0" w:space="0"/>
            </w:tcBorders>
            <w:vAlign w:val="center"/>
          </w:tcPr>
          <w:p w14:paraId="4FD1A79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15%-18%</w:t>
            </w:r>
          </w:p>
        </w:tc>
        <w:tc>
          <w:tcPr>
            <w:tcW w:w="2971" w:type="dxa"/>
            <w:tcBorders>
              <w:top w:val="single" w:color="000000" w:sz="0" w:space="0"/>
              <w:left w:val="single" w:color="000000" w:sz="0" w:space="0"/>
              <w:bottom w:val="single" w:color="000000" w:sz="0" w:space="0"/>
              <w:right w:val="single" w:color="000000" w:sz="0" w:space="0"/>
            </w:tcBorders>
            <w:vAlign w:val="center"/>
          </w:tcPr>
          <w:p w14:paraId="3B1131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占比偏高，大促临时用工效率低</w:t>
            </w:r>
          </w:p>
        </w:tc>
      </w:tr>
      <w:tr w14:paraId="33130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3" w:type="dxa"/>
            <w:tcBorders>
              <w:top w:val="single" w:color="000000" w:sz="0" w:space="0"/>
              <w:left w:val="single" w:color="000000" w:sz="0" w:space="0"/>
              <w:bottom w:val="single" w:color="000000" w:sz="0" w:space="0"/>
              <w:right w:val="single" w:color="000000" w:sz="0" w:space="0"/>
            </w:tcBorders>
            <w:vAlign w:val="center"/>
          </w:tcPr>
          <w:p w14:paraId="0D92D3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管理及其他成本</w:t>
            </w:r>
          </w:p>
        </w:tc>
        <w:tc>
          <w:tcPr>
            <w:tcW w:w="909" w:type="dxa"/>
            <w:tcBorders>
              <w:top w:val="single" w:color="000000" w:sz="0" w:space="0"/>
              <w:left w:val="single" w:color="000000" w:sz="0" w:space="0"/>
              <w:bottom w:val="single" w:color="000000" w:sz="0" w:space="0"/>
              <w:right w:val="single" w:color="000000" w:sz="0" w:space="0"/>
            </w:tcBorders>
            <w:vAlign w:val="center"/>
          </w:tcPr>
          <w:p w14:paraId="2F00C33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13.5</w:t>
            </w:r>
          </w:p>
        </w:tc>
        <w:tc>
          <w:tcPr>
            <w:tcW w:w="887" w:type="dxa"/>
            <w:tcBorders>
              <w:top w:val="single" w:color="000000" w:sz="0" w:space="0"/>
              <w:left w:val="single" w:color="000000" w:sz="0" w:space="0"/>
              <w:bottom w:val="single" w:color="000000" w:sz="0" w:space="0"/>
              <w:right w:val="single" w:color="000000" w:sz="0" w:space="0"/>
            </w:tcBorders>
            <w:vAlign w:val="center"/>
          </w:tcPr>
          <w:p w14:paraId="2A4CC1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7.3%</w:t>
            </w:r>
          </w:p>
        </w:tc>
        <w:tc>
          <w:tcPr>
            <w:tcW w:w="1625" w:type="dxa"/>
            <w:tcBorders>
              <w:top w:val="single" w:color="000000" w:sz="0" w:space="0"/>
              <w:left w:val="single" w:color="000000" w:sz="0" w:space="0"/>
              <w:bottom w:val="single" w:color="000000" w:sz="0" w:space="0"/>
              <w:right w:val="single" w:color="000000" w:sz="0" w:space="0"/>
            </w:tcBorders>
            <w:vAlign w:val="center"/>
          </w:tcPr>
          <w:p w14:paraId="03EA0E5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2.3</w:t>
            </w:r>
          </w:p>
        </w:tc>
        <w:tc>
          <w:tcPr>
            <w:tcW w:w="1465" w:type="dxa"/>
            <w:tcBorders>
              <w:top w:val="single" w:color="000000" w:sz="0" w:space="0"/>
              <w:left w:val="single" w:color="000000" w:sz="0" w:space="0"/>
              <w:bottom w:val="single" w:color="000000" w:sz="0" w:space="0"/>
              <w:right w:val="single" w:color="000000" w:sz="0" w:space="0"/>
            </w:tcBorders>
            <w:vAlign w:val="center"/>
          </w:tcPr>
          <w:p w14:paraId="442FF94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5%-8%</w:t>
            </w:r>
          </w:p>
        </w:tc>
        <w:tc>
          <w:tcPr>
            <w:tcW w:w="2971" w:type="dxa"/>
            <w:tcBorders>
              <w:top w:val="single" w:color="000000" w:sz="0" w:space="0"/>
              <w:left w:val="single" w:color="000000" w:sz="0" w:space="0"/>
              <w:bottom w:val="single" w:color="000000" w:sz="0" w:space="0"/>
              <w:right w:val="single" w:color="000000" w:sz="0" w:space="0"/>
            </w:tcBorders>
            <w:vAlign w:val="center"/>
          </w:tcPr>
          <w:p w14:paraId="5CB936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占比合理</w:t>
            </w:r>
          </w:p>
        </w:tc>
      </w:tr>
      <w:tr w14:paraId="13B1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6" w:hRule="atLeast"/>
          <w:jc w:val="center"/>
        </w:trPr>
        <w:tc>
          <w:tcPr>
            <w:tcW w:w="1503" w:type="dxa"/>
            <w:tcBorders>
              <w:top w:val="single" w:color="000000" w:sz="0" w:space="0"/>
              <w:left w:val="single" w:color="000000" w:sz="0" w:space="0"/>
              <w:bottom w:val="single" w:color="000000" w:sz="0" w:space="0"/>
              <w:right w:val="single" w:color="000000" w:sz="0" w:space="0"/>
            </w:tcBorders>
            <w:vAlign w:val="center"/>
          </w:tcPr>
          <w:p w14:paraId="055820C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合计</w:t>
            </w:r>
          </w:p>
        </w:tc>
        <w:tc>
          <w:tcPr>
            <w:tcW w:w="909" w:type="dxa"/>
            <w:tcBorders>
              <w:top w:val="single" w:color="000000" w:sz="0" w:space="0"/>
              <w:left w:val="single" w:color="000000" w:sz="0" w:space="0"/>
              <w:bottom w:val="single" w:color="000000" w:sz="0" w:space="0"/>
              <w:right w:val="single" w:color="000000" w:sz="0" w:space="0"/>
            </w:tcBorders>
            <w:vAlign w:val="center"/>
          </w:tcPr>
          <w:p w14:paraId="2385769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186.0</w:t>
            </w:r>
          </w:p>
        </w:tc>
        <w:tc>
          <w:tcPr>
            <w:tcW w:w="887" w:type="dxa"/>
            <w:tcBorders>
              <w:top w:val="single" w:color="000000" w:sz="0" w:space="0"/>
              <w:left w:val="single" w:color="000000" w:sz="0" w:space="0"/>
              <w:bottom w:val="single" w:color="000000" w:sz="0" w:space="0"/>
              <w:right w:val="single" w:color="000000" w:sz="0" w:space="0"/>
            </w:tcBorders>
            <w:vAlign w:val="center"/>
          </w:tcPr>
          <w:p w14:paraId="49200D6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100%</w:t>
            </w:r>
          </w:p>
        </w:tc>
        <w:tc>
          <w:tcPr>
            <w:tcW w:w="1625" w:type="dxa"/>
            <w:tcBorders>
              <w:top w:val="single" w:color="000000" w:sz="0" w:space="0"/>
              <w:left w:val="single" w:color="000000" w:sz="0" w:space="0"/>
              <w:bottom w:val="single" w:color="000000" w:sz="0" w:space="0"/>
              <w:right w:val="single" w:color="000000" w:sz="0" w:space="0"/>
            </w:tcBorders>
            <w:vAlign w:val="center"/>
          </w:tcPr>
          <w:p w14:paraId="1A3919D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31.1</w:t>
            </w:r>
          </w:p>
        </w:tc>
        <w:tc>
          <w:tcPr>
            <w:tcW w:w="1465" w:type="dxa"/>
            <w:tcBorders>
              <w:top w:val="single" w:color="000000" w:sz="0" w:space="0"/>
              <w:left w:val="single" w:color="000000" w:sz="0" w:space="0"/>
              <w:bottom w:val="single" w:color="000000" w:sz="0" w:space="0"/>
              <w:right w:val="single" w:color="000000" w:sz="0" w:space="0"/>
            </w:tcBorders>
            <w:vAlign w:val="center"/>
          </w:tcPr>
          <w:p w14:paraId="4E32596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w:t>
            </w:r>
          </w:p>
        </w:tc>
        <w:tc>
          <w:tcPr>
            <w:tcW w:w="2971" w:type="dxa"/>
            <w:tcBorders>
              <w:top w:val="single" w:color="000000" w:sz="0" w:space="0"/>
              <w:left w:val="single" w:color="000000" w:sz="0" w:space="0"/>
              <w:bottom w:val="single" w:color="000000" w:sz="0" w:space="0"/>
              <w:right w:val="single" w:color="000000" w:sz="0" w:space="0"/>
            </w:tcBorders>
            <w:vAlign w:val="center"/>
          </w:tcPr>
          <w:p w14:paraId="63E1158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w:t>
            </w:r>
          </w:p>
        </w:tc>
      </w:tr>
    </w:tbl>
    <w:p w14:paraId="597941B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4"/>
          <w:szCs w:val="24"/>
        </w:rPr>
      </w:pPr>
    </w:p>
    <w:p w14:paraId="7567859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2470785" cy="2397125"/>
            <wp:effectExtent l="0" t="0" r="5715" b="3175"/>
            <wp:docPr id="5" name="Chart"/>
            <wp:cNvGraphicFramePr/>
            <a:graphic xmlns:a="http://schemas.openxmlformats.org/drawingml/2006/main">
              <a:graphicData uri="http://schemas.openxmlformats.org/drawingml/2006/picture">
                <pic:pic xmlns:pic="http://schemas.openxmlformats.org/drawingml/2006/picture">
                  <pic:nvPicPr>
                    <pic:cNvPr id="5" name="Chart"/>
                    <pic:cNvPicPr/>
                  </pic:nvPicPr>
                  <pic:blipFill>
                    <a:blip r:embed="rId9"/>
                    <a:stretch>
                      <a:fillRect/>
                    </a:stretch>
                  </pic:blipFill>
                  <pic:spPr>
                    <a:xfrm>
                      <a:off x="0" y="0"/>
                      <a:ext cx="2470785" cy="2397125"/>
                    </a:xfrm>
                    <a:prstGeom prst="rect">
                      <a:avLst/>
                    </a:prstGeom>
                  </pic:spPr>
                </pic:pic>
              </a:graphicData>
            </a:graphic>
          </wp:inline>
        </w:drawing>
      </w:r>
    </w:p>
    <w:p w14:paraId="5283B0A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图6-</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物流成本结构分布图</w:t>
      </w:r>
    </w:p>
    <w:p w14:paraId="38F33D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成本结构拆解发现，仓储成本占比28.1%，高于行业参考值上限（25%），主要原因是双十一备货导致库存量激增，仓储面积临时扩租成本上升；人工成本占比20%，高于行业参考值上限（18%），主要原因是临时扩编人员培训不足导致人效偏低。</w:t>
      </w:r>
    </w:p>
    <w:p w14:paraId="7B0F5D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物流商成本对比分析。当平台与多家物流商合作时，需对比各物流商的成本效率，为物流商选择和资源分配提供依据。对比维度包括单位订单成本、准时送达率、包裹完好率、平均配送时效等综合指标，避免仅看价格而忽视服务质量。例如，A物流商单位成本最低（4.8元/单）但准时送达率仅为82%，B物流商单位成本略高（5.5元/单）但准时送达率达96%，综合评估B物流商的性价比更优。</w:t>
      </w:r>
    </w:p>
    <w:p w14:paraId="5CE849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4572000" cy="3429000"/>
            <wp:effectExtent l="0" t="0" r="0" b="0"/>
            <wp:docPr id="6" name="Chart"/>
            <wp:cNvGraphicFramePr/>
            <a:graphic xmlns:a="http://schemas.openxmlformats.org/drawingml/2006/main">
              <a:graphicData uri="http://schemas.openxmlformats.org/drawingml/2006/picture">
                <pic:pic xmlns:pic="http://schemas.openxmlformats.org/drawingml/2006/picture">
                  <pic:nvPicPr>
                    <pic:cNvPr id="6" name="Chart"/>
                    <pic:cNvPicPr/>
                  </pic:nvPicPr>
                  <pic:blipFill>
                    <a:blip r:embed="rId10"/>
                    <a:stretch>
                      <a:fillRect/>
                    </a:stretch>
                  </pic:blipFill>
                  <pic:spPr>
                    <a:xfrm>
                      <a:off x="0" y="0"/>
                      <a:ext cx="4572000" cy="3429000"/>
                    </a:xfrm>
                    <a:prstGeom prst="rect">
                      <a:avLst/>
                    </a:prstGeom>
                  </pic:spPr>
                </pic:pic>
              </a:graphicData>
            </a:graphic>
          </wp:inline>
        </w:drawing>
      </w:r>
    </w:p>
    <w:p w14:paraId="12B6E0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图6-</w:t>
      </w:r>
      <w:r>
        <w:rPr>
          <w:rFonts w:hint="eastAsia" w:ascii="宋体" w:hAnsi="宋体" w:eastAsia="宋体" w:cs="宋体"/>
          <w:sz w:val="24"/>
          <w:szCs w:val="24"/>
          <w:lang w:val="en-US" w:eastAsia="zh-CN"/>
        </w:rPr>
        <w:t>6</w:t>
      </w:r>
      <w:r>
        <w:rPr>
          <w:rFonts w:hint="eastAsia" w:ascii="宋体" w:hAnsi="宋体" w:eastAsia="宋体" w:cs="宋体"/>
          <w:sz w:val="24"/>
          <w:szCs w:val="24"/>
        </w:rPr>
        <w:t xml:space="preserve"> 物流商效率象限分析图</w:t>
      </w:r>
    </w:p>
    <w:p w14:paraId="393957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项目实操</w:t>
      </w:r>
    </w:p>
    <w:p w14:paraId="582DEC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本实操项目基于某电商企业2026年1月至2月的物流财务与运营融合数据，涵盖基础运费、增值服务费、异常赔付等多维度成本项，并关联订单重量、配送距离、时效表现等业务数据。学生将通过该项目掌握物流成本的核算方法、结构占比分析、单变量成本归因及性价比矩阵的构建，最终为企业筛选高性价比物流服务商并制定成本优化策略。</w:t>
      </w:r>
    </w:p>
    <w:p w14:paraId="393D0D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rPr>
        <w:t>数据准备</w:t>
      </w:r>
    </w:p>
    <w:p w14:paraId="709E89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本项目提供名为“物流成本分析数据集.xlsx”的Excel文件，包含“订单成本明细表”“订单业务信息表”“服务商报价表”三个工作表，核心字段如下：</w:t>
      </w:r>
    </w:p>
    <w:p w14:paraId="4B8E93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订单成本明细表：订单编号、基础运费、燃油附加费、包装材料费、偏远地区附加费、异常赔付金额、总成本、结算物流公司。</w:t>
      </w:r>
    </w:p>
    <w:p w14:paraId="53010E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订单业务信息表：订单编号、商品品类、包裹重量、配送距离等级、运输方式、实际签收时间、承诺送达时间、是否超时、订单金额。</w:t>
      </w:r>
    </w:p>
    <w:p w14:paraId="41FA31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服务商报价表：物流公司、运输方式、首重单价、续重单价、偏远地区加价比例、包装服务单价。</w:t>
      </w:r>
    </w:p>
    <w:p w14:paraId="62C46C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实操步骤</w:t>
      </w:r>
    </w:p>
    <w:p w14:paraId="52CAFA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步骤1数据融合与基础校验</w:t>
      </w:r>
    </w:p>
    <w:p w14:paraId="6A1C60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打开Excel文件，以“订单编号”为关键字段，使用VLOOKUP函数将“订单业务信息表”中的包裹重量、运输方式、是否超时等字段，匹配至“订单成本明细表”中，生成整合后的“物流成本分析总表”。核对整合后数据的完整性，检查是否存在匹配失败的订单编号，将无业务信息的成本记录标记为无效并剔除，确保分析数据的关联性与准确性。</w:t>
      </w:r>
    </w:p>
    <w:p w14:paraId="2DCC41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步骤2成本指标与衍生字段构建</w:t>
      </w:r>
    </w:p>
    <w:p w14:paraId="27B1BC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物流成本分析总表”中新建列，构建核心分析指标。计算“单位重量成本”，用总成本除以包裹重量。计算“成本营收比”，用总成本除以订单金额，反映每一元销售额的物流成本投入。新增“成本异常标记”列，后续将通过规则填充。补充“配送距离成本系数”，根据配送距离等级（同城、省内、跨省近程、跨省远程）赋予对应数值，为后续归因分析做准备。</w:t>
      </w:r>
    </w:p>
    <w:p w14:paraId="5355F7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步骤3成本结构与分组差异分析</w:t>
      </w:r>
    </w:p>
    <w:p w14:paraId="4B0F1C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插入第一个数据透视表，将“行”区域设置为“结算物流公司”，“列”区域设置为“成本构成项”，“值”区域设置为各项成本金额并选择“求和”，计算各服务商的成本结构占比。插入第二个数据透视表，将“行”区域设置为“运输方式”，“列”区域设置为“配送距离等级”，“值”区域设置为“总成本”并选择“平均值”，对比不同运输方式在各距离等级下的单位订单成本。插入第三个数据透视表，以“包裹重量”为行标签，统计不同重量区间的平均总成本，分析重量对成本的影响规律。</w:t>
      </w:r>
    </w:p>
    <w:p w14:paraId="4F2A26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步骤4成本效益与性价比矩阵构建</w:t>
      </w:r>
    </w:p>
    <w:p w14:paraId="6001E5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基于整合表，统计各物流公司的订单总数，计算每一家服务商的平均总成本与准时送达率。插入散点图，以“平均总成本”为X轴，以“准时送达率”为Y轴，将数据点按物流公司进行颜色区分，生成物流性价比矩阵。在图表中添加横纵平均线，将矩阵划分为四个象限，分别对应高成本高效率、高成本低效率、低成本高效率、低成本低效率。重点标注高成本低效率象限的服务商，结合其运输方式与配送区域，分析成本与效率不匹配的原因。</w:t>
      </w:r>
    </w:p>
    <w:p w14:paraId="52E02C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步骤5成本异常识别与根源追溯</w:t>
      </w:r>
    </w:p>
    <w:p w14:paraId="70D072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设定异常成本识别规则，通过条件格式实现自动标记。规则一，单位重量成本超过同运输方式平均水平150%的订单标记为异常。规则二，成本营收比超过20%的订单标记为异常。规则三，存在异常赔付金额且准时送达率为“是”的订单标记为异常。筛选出所有异常订单，通过数据透视表分析异常订单的品类分布、配送区域及物流公司归属。针对高频异常类型，结合“服务商报价表”核对计费标准，排查是否存在错计续重、重复收取附加费等问题。</w:t>
      </w:r>
    </w:p>
    <w:p w14:paraId="0B3FE1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步骤6结论汇总与优化建议</w:t>
      </w:r>
    </w:p>
    <w:p w14:paraId="178B5B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生成整合所有分析结果，梳理核心结论，包括主流服务商的成本结构特点、不同业务场景下的最优运输方式、成本异常的集中类型及高性价比服务商名单。撰写成本优化建议，从议价策略、包装标准化、偏远地区合单配送、异常赔付管控四个维度提出具体可执行的措施，形成完整的物流成本分析报告。</w:t>
      </w:r>
    </w:p>
    <w:p w14:paraId="1E0C2996">
      <w:pPr>
        <w:pStyle w:val="4"/>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（三）物流质量分析</w:t>
      </w:r>
    </w:p>
    <w:p w14:paraId="3EBAB1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1.物流质量分析的概念</w:t>
      </w:r>
    </w:p>
    <w:p w14:paraId="316ED7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物流质量分析聚焦物流服务过程中出现的各类质量问题，通过量化评估包裹破损、错发、丢失等问题的发生频率和影响范围，为质量改进提供方向。</w:t>
      </w:r>
    </w:p>
    <w:p w14:paraId="1D807B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rPr>
        <w:t>质量问题分类统计。将物流质量问题按类型进行分类统计，识别高频质量问题。以“智享科技”双十一期间数据为例，质量问题分类统计如表6-5所示。</w:t>
      </w:r>
    </w:p>
    <w:p w14:paraId="7EC31A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表6-5 物流质量问题分类统计</w:t>
      </w:r>
    </w:p>
    <w:tbl>
      <w:tblPr>
        <w:tblStyle w:val="11"/>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7"/>
        <w:gridCol w:w="1150"/>
        <w:gridCol w:w="1012"/>
        <w:gridCol w:w="2501"/>
        <w:gridCol w:w="3160"/>
      </w:tblGrid>
      <w:tr w14:paraId="79DF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37"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18A9CC0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质量问题类型</w:t>
            </w:r>
          </w:p>
        </w:tc>
        <w:tc>
          <w:tcPr>
            <w:tcW w:w="1150"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7CE3AB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发生次数（件）</w:t>
            </w:r>
          </w:p>
        </w:tc>
        <w:tc>
          <w:tcPr>
            <w:tcW w:w="1012"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6DECE6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占总订单比例</w:t>
            </w:r>
          </w:p>
        </w:tc>
        <w:tc>
          <w:tcPr>
            <w:tcW w:w="2501"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7E088BF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影响评估</w:t>
            </w:r>
          </w:p>
        </w:tc>
        <w:tc>
          <w:tcPr>
            <w:tcW w:w="3160" w:type="dxa"/>
            <w:tcBorders>
              <w:top w:val="single" w:color="000000" w:sz="0" w:space="0"/>
              <w:left w:val="single" w:color="000000" w:sz="0" w:space="0"/>
              <w:bottom w:val="single" w:color="000000" w:sz="0" w:space="0"/>
              <w:right w:val="single" w:color="000000" w:sz="0" w:space="0"/>
            </w:tcBorders>
            <w:shd w:val="solid" w:color="D9E2F3" w:fill="auto"/>
            <w:vAlign w:val="center"/>
          </w:tcPr>
          <w:p w14:paraId="3D432FC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主要原因</w:t>
            </w:r>
          </w:p>
        </w:tc>
      </w:tr>
      <w:tr w14:paraId="53A0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37" w:type="dxa"/>
            <w:tcBorders>
              <w:top w:val="single" w:color="000000" w:sz="0" w:space="0"/>
              <w:left w:val="single" w:color="000000" w:sz="0" w:space="0"/>
              <w:bottom w:val="single" w:color="000000" w:sz="0" w:space="0"/>
              <w:right w:val="single" w:color="000000" w:sz="0" w:space="0"/>
            </w:tcBorders>
            <w:vAlign w:val="center"/>
          </w:tcPr>
          <w:p w14:paraId="2F99A17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包裹破损</w:t>
            </w:r>
          </w:p>
        </w:tc>
        <w:tc>
          <w:tcPr>
            <w:tcW w:w="1150" w:type="dxa"/>
            <w:tcBorders>
              <w:top w:val="single" w:color="000000" w:sz="0" w:space="0"/>
              <w:left w:val="single" w:color="000000" w:sz="0" w:space="0"/>
              <w:bottom w:val="single" w:color="000000" w:sz="0" w:space="0"/>
              <w:right w:val="single" w:color="000000" w:sz="0" w:space="0"/>
            </w:tcBorders>
            <w:vAlign w:val="center"/>
          </w:tcPr>
          <w:p w14:paraId="5307831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2520</w:t>
            </w:r>
          </w:p>
        </w:tc>
        <w:tc>
          <w:tcPr>
            <w:tcW w:w="1012" w:type="dxa"/>
            <w:tcBorders>
              <w:top w:val="single" w:color="000000" w:sz="0" w:space="0"/>
              <w:left w:val="single" w:color="000000" w:sz="0" w:space="0"/>
              <w:bottom w:val="single" w:color="000000" w:sz="0" w:space="0"/>
              <w:right w:val="single" w:color="000000" w:sz="0" w:space="0"/>
            </w:tcBorders>
            <w:vAlign w:val="center"/>
          </w:tcPr>
          <w:p w14:paraId="5802585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4.2%</w:t>
            </w:r>
          </w:p>
        </w:tc>
        <w:tc>
          <w:tcPr>
            <w:tcW w:w="2501" w:type="dxa"/>
            <w:tcBorders>
              <w:top w:val="single" w:color="000000" w:sz="0" w:space="0"/>
              <w:left w:val="single" w:color="000000" w:sz="0" w:space="0"/>
              <w:bottom w:val="single" w:color="000000" w:sz="0" w:space="0"/>
              <w:right w:val="single" w:color="000000" w:sz="0" w:space="0"/>
            </w:tcBorders>
            <w:vAlign w:val="center"/>
          </w:tcPr>
          <w:p w14:paraId="6BFAECF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高——直接导致退货和差评</w:t>
            </w:r>
          </w:p>
        </w:tc>
        <w:tc>
          <w:tcPr>
            <w:tcW w:w="3160" w:type="dxa"/>
            <w:tcBorders>
              <w:top w:val="single" w:color="000000" w:sz="0" w:space="0"/>
              <w:left w:val="single" w:color="000000" w:sz="0" w:space="0"/>
              <w:bottom w:val="single" w:color="000000" w:sz="0" w:space="0"/>
              <w:right w:val="single" w:color="000000" w:sz="0" w:space="0"/>
            </w:tcBorders>
            <w:vAlign w:val="center"/>
          </w:tcPr>
          <w:p w14:paraId="19DEEE7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包装材料强度不足、装卸粗暴</w:t>
            </w:r>
          </w:p>
        </w:tc>
      </w:tr>
      <w:tr w14:paraId="3D445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37" w:type="dxa"/>
            <w:tcBorders>
              <w:top w:val="single" w:color="000000" w:sz="0" w:space="0"/>
              <w:left w:val="single" w:color="000000" w:sz="0" w:space="0"/>
              <w:bottom w:val="single" w:color="000000" w:sz="0" w:space="0"/>
              <w:right w:val="single" w:color="000000" w:sz="0" w:space="0"/>
            </w:tcBorders>
            <w:vAlign w:val="center"/>
          </w:tcPr>
          <w:p w14:paraId="6585872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商品错发</w:t>
            </w:r>
          </w:p>
        </w:tc>
        <w:tc>
          <w:tcPr>
            <w:tcW w:w="1150" w:type="dxa"/>
            <w:tcBorders>
              <w:top w:val="single" w:color="000000" w:sz="0" w:space="0"/>
              <w:left w:val="single" w:color="000000" w:sz="0" w:space="0"/>
              <w:bottom w:val="single" w:color="000000" w:sz="0" w:space="0"/>
              <w:right w:val="single" w:color="000000" w:sz="0" w:space="0"/>
            </w:tcBorders>
            <w:vAlign w:val="center"/>
          </w:tcPr>
          <w:p w14:paraId="0D72E7C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2100</w:t>
            </w:r>
          </w:p>
        </w:tc>
        <w:tc>
          <w:tcPr>
            <w:tcW w:w="1012" w:type="dxa"/>
            <w:tcBorders>
              <w:top w:val="single" w:color="000000" w:sz="0" w:space="0"/>
              <w:left w:val="single" w:color="000000" w:sz="0" w:space="0"/>
              <w:bottom w:val="single" w:color="000000" w:sz="0" w:space="0"/>
              <w:right w:val="single" w:color="000000" w:sz="0" w:space="0"/>
            </w:tcBorders>
            <w:vAlign w:val="center"/>
          </w:tcPr>
          <w:p w14:paraId="07F3F65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3.5%</w:t>
            </w:r>
          </w:p>
        </w:tc>
        <w:tc>
          <w:tcPr>
            <w:tcW w:w="2501" w:type="dxa"/>
            <w:tcBorders>
              <w:top w:val="single" w:color="000000" w:sz="0" w:space="0"/>
              <w:left w:val="single" w:color="000000" w:sz="0" w:space="0"/>
              <w:bottom w:val="single" w:color="000000" w:sz="0" w:space="0"/>
              <w:right w:val="single" w:color="000000" w:sz="0" w:space="0"/>
            </w:tcBorders>
            <w:vAlign w:val="center"/>
          </w:tcPr>
          <w:p w14:paraId="4425DE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高——产生往返物流成本</w:t>
            </w:r>
          </w:p>
        </w:tc>
        <w:tc>
          <w:tcPr>
            <w:tcW w:w="3160" w:type="dxa"/>
            <w:tcBorders>
              <w:top w:val="single" w:color="000000" w:sz="0" w:space="0"/>
              <w:left w:val="single" w:color="000000" w:sz="0" w:space="0"/>
              <w:bottom w:val="single" w:color="000000" w:sz="0" w:space="0"/>
              <w:right w:val="single" w:color="000000" w:sz="0" w:space="0"/>
            </w:tcBorders>
            <w:vAlign w:val="center"/>
          </w:tcPr>
          <w:p w14:paraId="4B5E151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分拣错误、复核机制不完善</w:t>
            </w:r>
          </w:p>
        </w:tc>
      </w:tr>
      <w:tr w14:paraId="2558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37" w:type="dxa"/>
            <w:tcBorders>
              <w:top w:val="single" w:color="000000" w:sz="0" w:space="0"/>
              <w:left w:val="single" w:color="000000" w:sz="0" w:space="0"/>
              <w:bottom w:val="single" w:color="000000" w:sz="0" w:space="0"/>
              <w:right w:val="single" w:color="000000" w:sz="0" w:space="0"/>
            </w:tcBorders>
            <w:vAlign w:val="center"/>
          </w:tcPr>
          <w:p w14:paraId="3EAEC40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配送延迟</w:t>
            </w:r>
          </w:p>
        </w:tc>
        <w:tc>
          <w:tcPr>
            <w:tcW w:w="1150" w:type="dxa"/>
            <w:tcBorders>
              <w:top w:val="single" w:color="000000" w:sz="0" w:space="0"/>
              <w:left w:val="single" w:color="000000" w:sz="0" w:space="0"/>
              <w:bottom w:val="single" w:color="000000" w:sz="0" w:space="0"/>
              <w:right w:val="single" w:color="000000" w:sz="0" w:space="0"/>
            </w:tcBorders>
            <w:vAlign w:val="center"/>
          </w:tcPr>
          <w:p w14:paraId="49D1885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1320</w:t>
            </w:r>
          </w:p>
        </w:tc>
        <w:tc>
          <w:tcPr>
            <w:tcW w:w="1012" w:type="dxa"/>
            <w:tcBorders>
              <w:top w:val="single" w:color="000000" w:sz="0" w:space="0"/>
              <w:left w:val="single" w:color="000000" w:sz="0" w:space="0"/>
              <w:bottom w:val="single" w:color="000000" w:sz="0" w:space="0"/>
              <w:right w:val="single" w:color="000000" w:sz="0" w:space="0"/>
            </w:tcBorders>
            <w:vAlign w:val="center"/>
          </w:tcPr>
          <w:p w14:paraId="1847ABE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2.2%</w:t>
            </w:r>
          </w:p>
        </w:tc>
        <w:tc>
          <w:tcPr>
            <w:tcW w:w="2501" w:type="dxa"/>
            <w:tcBorders>
              <w:top w:val="single" w:color="000000" w:sz="0" w:space="0"/>
              <w:left w:val="single" w:color="000000" w:sz="0" w:space="0"/>
              <w:bottom w:val="single" w:color="000000" w:sz="0" w:space="0"/>
              <w:right w:val="single" w:color="000000" w:sz="0" w:space="0"/>
            </w:tcBorders>
            <w:vAlign w:val="center"/>
          </w:tcPr>
          <w:p w14:paraId="57D605E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中——影响客户满意度</w:t>
            </w:r>
          </w:p>
        </w:tc>
        <w:tc>
          <w:tcPr>
            <w:tcW w:w="3160" w:type="dxa"/>
            <w:tcBorders>
              <w:top w:val="single" w:color="000000" w:sz="0" w:space="0"/>
              <w:left w:val="single" w:color="000000" w:sz="0" w:space="0"/>
              <w:bottom w:val="single" w:color="000000" w:sz="0" w:space="0"/>
              <w:right w:val="single" w:color="000000" w:sz="0" w:space="0"/>
            </w:tcBorders>
            <w:vAlign w:val="center"/>
          </w:tcPr>
          <w:p w14:paraId="2E8A7C7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物流商运力不足、天气因素</w:t>
            </w:r>
          </w:p>
        </w:tc>
      </w:tr>
      <w:tr w14:paraId="02E0D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37" w:type="dxa"/>
            <w:tcBorders>
              <w:top w:val="single" w:color="000000" w:sz="0" w:space="0"/>
              <w:left w:val="single" w:color="000000" w:sz="0" w:space="0"/>
              <w:bottom w:val="single" w:color="000000" w:sz="0" w:space="0"/>
              <w:right w:val="single" w:color="000000" w:sz="0" w:space="0"/>
            </w:tcBorders>
            <w:vAlign w:val="center"/>
          </w:tcPr>
          <w:p w14:paraId="2E55F3B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包裹丢失</w:t>
            </w:r>
          </w:p>
        </w:tc>
        <w:tc>
          <w:tcPr>
            <w:tcW w:w="1150" w:type="dxa"/>
            <w:tcBorders>
              <w:top w:val="single" w:color="000000" w:sz="0" w:space="0"/>
              <w:left w:val="single" w:color="000000" w:sz="0" w:space="0"/>
              <w:bottom w:val="single" w:color="000000" w:sz="0" w:space="0"/>
              <w:right w:val="single" w:color="000000" w:sz="0" w:space="0"/>
            </w:tcBorders>
            <w:vAlign w:val="center"/>
          </w:tcPr>
          <w:p w14:paraId="7627E03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360</w:t>
            </w:r>
          </w:p>
        </w:tc>
        <w:tc>
          <w:tcPr>
            <w:tcW w:w="1012" w:type="dxa"/>
            <w:tcBorders>
              <w:top w:val="single" w:color="000000" w:sz="0" w:space="0"/>
              <w:left w:val="single" w:color="000000" w:sz="0" w:space="0"/>
              <w:bottom w:val="single" w:color="000000" w:sz="0" w:space="0"/>
              <w:right w:val="single" w:color="000000" w:sz="0" w:space="0"/>
            </w:tcBorders>
            <w:vAlign w:val="center"/>
          </w:tcPr>
          <w:p w14:paraId="1EABC1B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0.6%</w:t>
            </w:r>
          </w:p>
        </w:tc>
        <w:tc>
          <w:tcPr>
            <w:tcW w:w="2501" w:type="dxa"/>
            <w:tcBorders>
              <w:top w:val="single" w:color="000000" w:sz="0" w:space="0"/>
              <w:left w:val="single" w:color="000000" w:sz="0" w:space="0"/>
              <w:bottom w:val="single" w:color="000000" w:sz="0" w:space="0"/>
              <w:right w:val="single" w:color="000000" w:sz="0" w:space="0"/>
            </w:tcBorders>
            <w:vAlign w:val="center"/>
          </w:tcPr>
          <w:p w14:paraId="273B89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高——全额赔偿+客户流失</w:t>
            </w:r>
          </w:p>
        </w:tc>
        <w:tc>
          <w:tcPr>
            <w:tcW w:w="3160" w:type="dxa"/>
            <w:tcBorders>
              <w:top w:val="single" w:color="000000" w:sz="0" w:space="0"/>
              <w:left w:val="single" w:color="000000" w:sz="0" w:space="0"/>
              <w:bottom w:val="single" w:color="000000" w:sz="0" w:space="0"/>
              <w:right w:val="single" w:color="000000" w:sz="0" w:space="0"/>
            </w:tcBorders>
            <w:vAlign w:val="center"/>
          </w:tcPr>
          <w:p w14:paraId="1655688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中转环节管理漏洞</w:t>
            </w:r>
          </w:p>
        </w:tc>
      </w:tr>
      <w:tr w14:paraId="07E61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37" w:type="dxa"/>
            <w:tcBorders>
              <w:top w:val="single" w:color="000000" w:sz="0" w:space="0"/>
              <w:left w:val="single" w:color="000000" w:sz="0" w:space="0"/>
              <w:bottom w:val="single" w:color="000000" w:sz="0" w:space="0"/>
              <w:right w:val="single" w:color="000000" w:sz="0" w:space="0"/>
            </w:tcBorders>
            <w:vAlign w:val="center"/>
          </w:tcPr>
          <w:p w14:paraId="6FDCD5D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信息异常（物流轨迹中断）</w:t>
            </w:r>
          </w:p>
        </w:tc>
        <w:tc>
          <w:tcPr>
            <w:tcW w:w="1150" w:type="dxa"/>
            <w:tcBorders>
              <w:top w:val="single" w:color="000000" w:sz="0" w:space="0"/>
              <w:left w:val="single" w:color="000000" w:sz="0" w:space="0"/>
              <w:bottom w:val="single" w:color="000000" w:sz="0" w:space="0"/>
              <w:right w:val="single" w:color="000000" w:sz="0" w:space="0"/>
            </w:tcBorders>
            <w:vAlign w:val="center"/>
          </w:tcPr>
          <w:p w14:paraId="3A179EC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600</w:t>
            </w:r>
          </w:p>
        </w:tc>
        <w:tc>
          <w:tcPr>
            <w:tcW w:w="1012" w:type="dxa"/>
            <w:tcBorders>
              <w:top w:val="single" w:color="000000" w:sz="0" w:space="0"/>
              <w:left w:val="single" w:color="000000" w:sz="0" w:space="0"/>
              <w:bottom w:val="single" w:color="000000" w:sz="0" w:space="0"/>
              <w:right w:val="single" w:color="000000" w:sz="0" w:space="0"/>
            </w:tcBorders>
            <w:vAlign w:val="center"/>
          </w:tcPr>
          <w:p w14:paraId="53DB28A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1.0%</w:t>
            </w:r>
          </w:p>
        </w:tc>
        <w:tc>
          <w:tcPr>
            <w:tcW w:w="2501" w:type="dxa"/>
            <w:tcBorders>
              <w:top w:val="single" w:color="000000" w:sz="0" w:space="0"/>
              <w:left w:val="single" w:color="000000" w:sz="0" w:space="0"/>
              <w:bottom w:val="single" w:color="000000" w:sz="0" w:space="0"/>
              <w:right w:val="single" w:color="000000" w:sz="0" w:space="0"/>
            </w:tcBorders>
            <w:vAlign w:val="center"/>
          </w:tcPr>
          <w:p w14:paraId="62003DD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中——增加客服咨询量</w:t>
            </w:r>
          </w:p>
        </w:tc>
        <w:tc>
          <w:tcPr>
            <w:tcW w:w="3160" w:type="dxa"/>
            <w:tcBorders>
              <w:top w:val="single" w:color="000000" w:sz="0" w:space="0"/>
              <w:left w:val="single" w:color="000000" w:sz="0" w:space="0"/>
              <w:bottom w:val="single" w:color="000000" w:sz="0" w:space="0"/>
              <w:right w:val="single" w:color="000000" w:sz="0" w:space="0"/>
            </w:tcBorders>
            <w:vAlign w:val="center"/>
          </w:tcPr>
          <w:p w14:paraId="3054E0B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物流商系统对接问题</w:t>
            </w:r>
          </w:p>
        </w:tc>
      </w:tr>
      <w:tr w14:paraId="0691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5" w:hRule="atLeast"/>
          <w:jc w:val="center"/>
        </w:trPr>
        <w:tc>
          <w:tcPr>
            <w:tcW w:w="1537" w:type="dxa"/>
            <w:tcBorders>
              <w:top w:val="single" w:color="000000" w:sz="0" w:space="0"/>
              <w:left w:val="single" w:color="000000" w:sz="0" w:space="0"/>
              <w:bottom w:val="single" w:color="000000" w:sz="0" w:space="0"/>
              <w:right w:val="single" w:color="000000" w:sz="0" w:space="0"/>
            </w:tcBorders>
            <w:vAlign w:val="center"/>
          </w:tcPr>
          <w:p w14:paraId="069322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合计</w:t>
            </w:r>
          </w:p>
        </w:tc>
        <w:tc>
          <w:tcPr>
            <w:tcW w:w="1150" w:type="dxa"/>
            <w:tcBorders>
              <w:top w:val="single" w:color="000000" w:sz="0" w:space="0"/>
              <w:left w:val="single" w:color="000000" w:sz="0" w:space="0"/>
              <w:bottom w:val="single" w:color="000000" w:sz="0" w:space="0"/>
              <w:right w:val="single" w:color="000000" w:sz="0" w:space="0"/>
            </w:tcBorders>
            <w:vAlign w:val="center"/>
          </w:tcPr>
          <w:p w14:paraId="0637918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6900</w:t>
            </w:r>
          </w:p>
        </w:tc>
        <w:tc>
          <w:tcPr>
            <w:tcW w:w="1012" w:type="dxa"/>
            <w:tcBorders>
              <w:top w:val="single" w:color="000000" w:sz="0" w:space="0"/>
              <w:left w:val="single" w:color="000000" w:sz="0" w:space="0"/>
              <w:bottom w:val="single" w:color="000000" w:sz="0" w:space="0"/>
              <w:right w:val="single" w:color="000000" w:sz="0" w:space="0"/>
            </w:tcBorders>
            <w:vAlign w:val="center"/>
          </w:tcPr>
          <w:p w14:paraId="362014E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11.5%</w:t>
            </w:r>
          </w:p>
        </w:tc>
        <w:tc>
          <w:tcPr>
            <w:tcW w:w="2501" w:type="dxa"/>
            <w:tcBorders>
              <w:top w:val="single" w:color="000000" w:sz="0" w:space="0"/>
              <w:left w:val="single" w:color="000000" w:sz="0" w:space="0"/>
              <w:bottom w:val="single" w:color="000000" w:sz="0" w:space="0"/>
              <w:right w:val="single" w:color="000000" w:sz="0" w:space="0"/>
            </w:tcBorders>
            <w:vAlign w:val="center"/>
          </w:tcPr>
          <w:p w14:paraId="2CC21F1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w:t>
            </w:r>
          </w:p>
        </w:tc>
        <w:tc>
          <w:tcPr>
            <w:tcW w:w="3160" w:type="dxa"/>
            <w:tcBorders>
              <w:top w:val="single" w:color="000000" w:sz="0" w:space="0"/>
              <w:left w:val="single" w:color="000000" w:sz="0" w:space="0"/>
              <w:bottom w:val="single" w:color="000000" w:sz="0" w:space="0"/>
              <w:right w:val="single" w:color="000000" w:sz="0" w:space="0"/>
            </w:tcBorders>
            <w:vAlign w:val="center"/>
          </w:tcPr>
          <w:p w14:paraId="14ADA9F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w:t>
            </w:r>
          </w:p>
        </w:tc>
      </w:tr>
    </w:tbl>
    <w:p w14:paraId="06995E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7FB2F9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4953000" cy="3238500"/>
            <wp:effectExtent l="0" t="0" r="0" b="0"/>
            <wp:docPr id="8" name="Chart"/>
            <wp:cNvGraphicFramePr/>
            <a:graphic xmlns:a="http://schemas.openxmlformats.org/drawingml/2006/main">
              <a:graphicData uri="http://schemas.openxmlformats.org/drawingml/2006/picture">
                <pic:pic xmlns:pic="http://schemas.openxmlformats.org/drawingml/2006/picture">
                  <pic:nvPicPr>
                    <pic:cNvPr id="8" name="Chart"/>
                    <pic:cNvPicPr/>
                  </pic:nvPicPr>
                  <pic:blipFill>
                    <a:blip r:embed="rId11"/>
                    <a:stretch>
                      <a:fillRect/>
                    </a:stretch>
                  </pic:blipFill>
                  <pic:spPr>
                    <a:xfrm>
                      <a:off x="0" y="0"/>
                      <a:ext cx="4953000" cy="3238500"/>
                    </a:xfrm>
                    <a:prstGeom prst="rect">
                      <a:avLst/>
                    </a:prstGeom>
                  </pic:spPr>
                </pic:pic>
              </a:graphicData>
            </a:graphic>
          </wp:inline>
        </w:drawing>
      </w:r>
    </w:p>
    <w:p w14:paraId="62A05E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图6-</w:t>
      </w:r>
      <w:r>
        <w:rPr>
          <w:rFonts w:hint="eastAsia" w:ascii="宋体" w:hAnsi="宋体" w:eastAsia="宋体" w:cs="宋体"/>
          <w:sz w:val="24"/>
          <w:szCs w:val="24"/>
          <w:lang w:val="en-US" w:eastAsia="zh-CN"/>
        </w:rPr>
        <w:t>7</w:t>
      </w:r>
      <w:r>
        <w:rPr>
          <w:rFonts w:hint="eastAsia" w:ascii="宋体" w:hAnsi="宋体" w:eastAsia="宋体" w:cs="宋体"/>
          <w:sz w:val="24"/>
          <w:szCs w:val="24"/>
        </w:rPr>
        <w:t xml:space="preserve"> 物流质量问题帕累托分析图</w:t>
      </w:r>
    </w:p>
    <w:p w14:paraId="5CAE2A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质量问题分类统计发现，包裹破损（4.2%）和商品错发（3.5%）是两大高频问题，合计占总订单的7.7%，是质量改进的优先方向。包裹破损需从包装材料升级和装卸规范培训入手；商品错发需从仓库分拣流程优化和WMS系统准确性提升入手。</w:t>
      </w:r>
    </w:p>
    <w:p w14:paraId="468334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质量问题趋势分析。追踪各类质量问题的时间变化趋势，识别质量恶化或改善的信号。例如，包裹破损率在10-11月（大促备货期）从1.5%逐步攀升至4.2%，与大促期间临时包装材料质量下降、临时工包装操作不规范高度相关。通过趋势分析可提前预警质量风险，在大促前加强包装质量管控和人员培训。</w:t>
      </w:r>
    </w:p>
    <w:p w14:paraId="0594CC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项目实操</w:t>
      </w:r>
    </w:p>
    <w:p w14:paraId="03B936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本实操项目基于某电商企业2026年1月的售后工单与物流运营全量数据，深度融合了订单履约记录、售后异常类型、客户投诉详情及物流服务商考核数据。学生将通过该项目掌握物流质量核心指标的量化计算方法，学会运用交叉分析定位异常高发环节，并建立物流质量与客户流失风险的关联模型，最终形成针对性的质量管控与包装优化方案。</w:t>
      </w:r>
    </w:p>
    <w:p w14:paraId="24404C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rPr>
        <w:t>数据准备</w:t>
      </w:r>
    </w:p>
    <w:p w14:paraId="260BD3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本项目提供名为“物流质量分析数据集.xlsx”的Excel文件，包含“订单售后明细表”“物流履约记录表”“客户复购信息表”三个工作表，核心字段如下：</w:t>
      </w:r>
    </w:p>
    <w:p w14:paraId="5418F5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订单售后明细表：订单编号、异常类型、异常原因、责任方、赔付金额、是否升级投诉、投诉渠道、处理时长。</w:t>
      </w:r>
    </w:p>
    <w:p w14:paraId="4F8B5F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物流履约记录表：订单编号、商品品类、商品属性、包装方式、承运物流公司、配送区域、配送员、物流轨迹更新频次。</w:t>
      </w:r>
    </w:p>
    <w:p w14:paraId="79586C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客户复购信息表：订单编号、客户ID、是否复购、复购间隔天数、客户满意度评分。</w:t>
      </w:r>
    </w:p>
    <w:p w14:paraId="251F75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实操步骤</w:t>
      </w:r>
    </w:p>
    <w:p w14:paraId="3F4EC4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步骤1数据关联与异常样本提取</w:t>
      </w:r>
    </w:p>
    <w:p w14:paraId="32937A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打开Excel文件，以“订单编号”为关键字段，使用XLOOKUP函数将“物流履约记录表”中的商品品类、包装方式、承运物流公司等字段，匹配至“订单售后明细表”，生成“物流质量分析总表”。通过筛选功能，将“异常类型”中的“无异常”记录单独标记，用于后续完好率计算，同时提取所有存在异常的订单形成“异常订单分析表”，作为核心分析样本。</w:t>
      </w:r>
    </w:p>
    <w:p w14:paraId="37FE0C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步骤2质量核心指标字段构建</w:t>
      </w:r>
    </w:p>
    <w:p w14:paraId="1C6077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在“物流质量分析总表”中新建列，构建多维分析指标。使用IF函数标记“是否易碎品”，关联商品属性字段进行自动判断。计算“异常严重程度”，依据赔付金额划分等级，形成低、中、高三个层级。新增“复购关联标记”列，通过匹配“客户复购信息表”，标记异常订单客户的复购状态，为后续影响分析提供依据。</w:t>
      </w:r>
    </w:p>
    <w:p w14:paraId="66C56B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步骤3物流异常结构与分布分析</w:t>
      </w:r>
    </w:p>
    <w:p w14:paraId="14CFC8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插入第一个数据透视表，以“异常类型”为行标签，“责任方”为列标签，对“订单编号”进行计数，生成异常类型与责任归属的交叉矩阵，识别主要责任主体与高频异常类型。插入第二个数据透视表，将“行”区域设置为“承运物流公司”，“列”区域设置为“配送区域”，“值”区域设置为“异常率”，分析不同服务商在各区域的质量表现差异。利用切片器功能，按“商品品类”进行筛选，观察易碎品与普通商品的异常率对比。</w:t>
      </w:r>
    </w:p>
    <w:p w14:paraId="515388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步骤4投诉诱因与关联深度挖掘</w:t>
      </w:r>
    </w:p>
    <w:p w14:paraId="278C2A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基于“异常订单分析表”，筛选出“是否升级投诉”为“是”的样本，插入数据透视表，以“异常原因”为行标签，统计投诉数量与占比，识别引发投诉的核心导火索。进一步进行交叉分析，将“包装方式”拖入行标签，探究不同包装方案下的破损投诉率差异。结合“物流轨迹更新频次”字段，分析信息更新滞后与投诉率之间的相关性，量化信息透明度对客户体验的影响。</w:t>
      </w:r>
    </w:p>
    <w:p w14:paraId="5EFE2B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步骤5质量影响与复购关联分析</w:t>
      </w:r>
    </w:p>
    <w:p w14:paraId="26C4A5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将“客户复购信息表”与“物流质量分析总表”进行关联，插入数据透视表，以“异常严重程度”为行标签，分别统计“是否复购”的数量与复购率。通过对比无异常订单、轻度异常订单与重度异常订单的复购率差异，量化物流质量对客户忠诚度的影响。生成簇状柱形图，直观呈现不同异常等级下的复购率变化趋势。</w:t>
      </w:r>
    </w:p>
    <w:p w14:paraId="08B52F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步骤6质量优化方案制定</w:t>
      </w:r>
    </w:p>
    <w:p w14:paraId="0A8880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合所有分析结论，明确当前物流的核心痛点，如某服务商在偏远地区的高破损率、易碎品包装防护不足、信息更新不及时等。针对核心痛点，从包装标准化、服务商考核、配送环节管控、信息系统优化四个维度提出具体可执行的改进措施。撰写物流质量分析报告，包含数据结论、问题溯源及优化建议，形成闭环的质量管控方案。</w:t>
      </w:r>
    </w:p>
    <w:p w14:paraId="345085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mc:AlternateContent>
          <mc:Choice Requires="wps">
            <w:drawing>
              <wp:anchor distT="0" distB="0" distL="114300" distR="114300" simplePos="0" relativeHeight="251663360" behindDoc="0" locked="0" layoutInCell="1" allowOverlap="1">
                <wp:simplePos x="0" y="0"/>
                <wp:positionH relativeFrom="column">
                  <wp:posOffset>-190500</wp:posOffset>
                </wp:positionH>
                <wp:positionV relativeFrom="paragraph">
                  <wp:posOffset>113030</wp:posOffset>
                </wp:positionV>
                <wp:extent cx="6047740" cy="4004310"/>
                <wp:effectExtent l="12700" t="12700" r="16510" b="21590"/>
                <wp:wrapNone/>
                <wp:docPr id="10" name="圆角矩形 10"/>
                <wp:cNvGraphicFramePr/>
                <a:graphic xmlns:a="http://schemas.openxmlformats.org/drawingml/2006/main">
                  <a:graphicData uri="http://schemas.microsoft.com/office/word/2010/wordprocessingShape">
                    <wps:wsp>
                      <wps:cNvSpPr/>
                      <wps:spPr>
                        <a:xfrm>
                          <a:off x="1007745" y="7200265"/>
                          <a:ext cx="6047740" cy="4004310"/>
                        </a:xfrm>
                        <a:prstGeom prst="roundRect">
                          <a:avLst>
                            <a:gd name="adj" fmla="val 6844"/>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5pt;margin-top:8.9pt;height:315.3pt;width:476.2pt;z-index:251663360;v-text-anchor:middle;mso-width-relative:page;mso-height-relative:page;" filled="f" stroked="t" coordsize="21600,21600" arcsize="0.0684259259259259" o:gfxdata="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M6+PsNkA&#10;AAAKAQAADwAAAAAAAAABACAAAAAiAAAAZHJzL2Rvd25yZXYueG1sUEsBAhQAFAAAAAgAh07iQI+W&#10;bheQAgAA+QQAAA4AAAAAAAAAAQAgAAAAKAEAAGRycy9lMm9Eb2MueG1sUEsFBgAAAAAGAAYAWQEA&#10;ACoGAAAAAA==&#10;">
                <v:fill on="f" focussize="0,0"/>
                <v:stroke weight="2pt" color="#4F81BD [3204]" joinstyle="round"/>
                <v:imagedata o:title=""/>
                <o:lock v:ext="edit" aspectratio="f"/>
              </v:roundrect>
            </w:pict>
          </mc:Fallback>
        </mc:AlternateContent>
      </w:r>
    </w:p>
    <w:p w14:paraId="61CCAD9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b/>
          <w:bCs/>
          <w:sz w:val="24"/>
          <w:szCs w:val="24"/>
          <w:lang w:val="en-US" w:eastAsia="zh-CN"/>
        </w:rPr>
        <w:t>【数智赋能】数智赋能物流效率提升，匠心守护民生流通温度</w:t>
      </w:r>
    </w:p>
    <w:p w14:paraId="15EF5E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某物流企业针对偏远乡村农产品配送链路长、时效慢、损耗高的痛点，组建数据分析团队开展物流效率专项分析。团队通过拆解揽收、干线运输、末端配送全流程节点，挖掘出中转仓布局不合理、配送路由冗余、揽收时效无标准等核心问题，运用数据分析模型重新规划配送链路，在乡镇增设中转仓、优化干线运输路线，同时制定标准化揽收流程，将农产品从产地到城市的履约时长缩短 40%，损耗率降至5%以下，让山区特色农产品以更快速度、更低损耗抵达消费者手中。</w:t>
      </w:r>
    </w:p>
    <w:p w14:paraId="35F911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此次物流效率优化，不仅通过数智化手段实现了企业运营效率的提升，更切实解决了乡村农产品流通的民生难题，助力乡村产业发展。案例让学生深刻认识到，物流效率分析并非单纯的技术操作，更与民生保障、乡村振兴紧密相连。作为物流专业从业者，既要锤炼数据分析、效率优化的专业本领，更要树立以专业能力服务社会、助力民生的职业理念，将数智化技术与实体经济发展结合，在提升行业效率的同时，践行社会责任，让物流流通更有速度，更有温度。</w:t>
      </w:r>
    </w:p>
    <w:p w14:paraId="3E0047DF">
      <w:pPr>
        <w:pStyle w:val="3"/>
        <w:spacing w:line="360" w:lineRule="auto"/>
        <w:rPr>
          <w:rFonts w:hint="eastAsia" w:ascii="宋体" w:hAnsi="宋体" w:eastAsia="宋体" w:cs="宋体"/>
          <w:sz w:val="24"/>
          <w:szCs w:val="24"/>
        </w:rPr>
      </w:pPr>
      <w:r>
        <w:rPr>
          <w:rFonts w:hint="eastAsia" w:ascii="宋体" w:hAnsi="宋体" w:eastAsia="宋体" w:cs="宋体"/>
          <w:sz w:val="24"/>
          <w:szCs w:val="24"/>
        </w:rPr>
        <w:t>任务6.4 Power BI实现数据可视化与智能报告生成</w:t>
      </w:r>
    </w:p>
    <w:p w14:paraId="7EDAE8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在完成物流效率分析的基础上，需将分析结果通过可视化图表和智能报告的形式进行呈现，使管理层和团队成员能够直观理解物流运营现状、快速识别问题环节，并为决策提供数据支撑。Power BI作为微软推出的商业智能工具，具备强大的数据建模、可视化呈现和智能分析能力，是物流数据分析可视化的主流工具。</w:t>
      </w:r>
    </w:p>
    <w:p w14:paraId="62AADE53">
      <w:pPr>
        <w:pStyle w:val="4"/>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（一）Power BI数据建模与导入</w:t>
      </w:r>
    </w:p>
    <w:p w14:paraId="5AD270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Power BI数据建模是将规约后的物流数据导入Power BI，建立数据模型并定义字段关系的过程，是可视化分析的基础前提。</w:t>
      </w:r>
    </w:p>
    <w:p w14:paraId="3E66B7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数据导入。打开Power BI Desktop，点击“获取数据”→“Excel”，选中经过规约处理的物流数据文件，在弹出的导航器中勾选需要导入的数据表（如物流时效表、物流成本表、质量问题表等），点击“加载”完成数据导入。</w:t>
      </w:r>
    </w:p>
    <w:p w14:paraId="530396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数据类型设置。在Power BI的“数据”视图中，检查各字段的数据类型是否正确：日期字段设置为“日期”类型，数值字段设置为“整数”或“小数”类型，文本字段设置为“文本”类型。数据类型错误将导致后续计算和可视化异常。</w:t>
      </w:r>
    </w:p>
    <w:p w14:paraId="3C9FCC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建立表间关系。若数据分散在多个表中（如物流时效表和物流成本表通过“订单编号”关联），需在“模型”视图中拖拽关联字段建立表间关系，确保跨表分析时数据正确联动。</w:t>
      </w:r>
    </w:p>
    <w:p w14:paraId="1C71C2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创建度量值。在Power BI中创建关键度量值（DAX公式），例如：平均送货时间=AVERAGE(‘物流数据’[配送时效])；准时送达率=DIVIDE(CALCULATE(COUNTROWS(‘物流数据’)</w:t>
      </w:r>
      <w:r>
        <w:rPr>
          <w:rFonts w:hint="eastAsia" w:ascii="Times New Roman" w:hAnsi="Times New Roman" w:cstheme="minorEastAsia"/>
          <w:sz w:val="24"/>
          <w:szCs w:val="24"/>
          <w:lang w:val="en-US" w:eastAsia="zh-CN"/>
        </w:rPr>
        <w:t>，</w:t>
      </w:r>
      <w:r>
        <w:rPr>
          <w:rFonts w:hint="eastAsia" w:ascii="Times New Roman" w:hAnsi="Times New Roman" w:eastAsiaTheme="minorEastAsia" w:cstheme="minorEastAsia"/>
          <w:sz w:val="24"/>
          <w:szCs w:val="24"/>
          <w:lang w:val="en-US" w:eastAsia="zh-CN"/>
        </w:rPr>
        <w:t>‘物流数据’[是否准时]=“是”)</w:t>
      </w:r>
      <w:r>
        <w:rPr>
          <w:rFonts w:hint="eastAsia" w:ascii="Times New Roman" w:hAnsi="Times New Roman" w:cstheme="minorEastAsia"/>
          <w:sz w:val="24"/>
          <w:szCs w:val="24"/>
          <w:lang w:val="en-US" w:eastAsia="zh-CN"/>
        </w:rPr>
        <w:t>，</w:t>
      </w:r>
      <w:r>
        <w:rPr>
          <w:rFonts w:hint="eastAsia" w:ascii="Times New Roman" w:hAnsi="Times New Roman" w:eastAsiaTheme="minorEastAsia" w:cstheme="minorEastAsia"/>
          <w:sz w:val="24"/>
          <w:szCs w:val="24"/>
          <w:lang w:val="en-US" w:eastAsia="zh-CN"/>
        </w:rPr>
        <w:t>COUNTROWS(‘物流数据’))；单位订单物流成本 = SUM(‘物流数据’[物流费用])/COUNTROWS(‘物流数据’)。</w:t>
      </w:r>
    </w:p>
    <w:p w14:paraId="1E98E1F0">
      <w:pPr>
        <w:pStyle w:val="4"/>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（二）物流数据看板搭建</w:t>
      </w:r>
    </w:p>
    <w:p w14:paraId="45BEE1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物流数据看板是将核心物流指标以可视化图表形式集中展示的仪表盘，可实现物流运营状态的实时监控与快速诊断。看板搭建的核心逻辑是“总览→拆解→下钻”三层结构：</w:t>
      </w:r>
    </w:p>
    <w:p w14:paraId="4F5CE3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cstheme="minorEastAsia"/>
          <w:sz w:val="24"/>
          <w:szCs w:val="24"/>
          <w:lang w:val="en-US" w:eastAsia="zh-CN"/>
        </w:rPr>
        <w:t>1.</w:t>
      </w:r>
      <w:r>
        <w:rPr>
          <w:rFonts w:hint="eastAsia" w:ascii="Times New Roman" w:hAnsi="Times New Roman" w:eastAsiaTheme="minorEastAsia" w:cstheme="minorEastAsia"/>
          <w:sz w:val="24"/>
          <w:szCs w:val="24"/>
          <w:lang w:val="en-US" w:eastAsia="zh-CN"/>
        </w:rPr>
        <w:t>核心指标总览区。在看板顶部放置关键KPI卡片，展示“总订单量”“平均送货时间”“准时送达率”“包裹完好率”“物流总成本”五个核心指标，配合环比/同比变化标识（如红色箭头↑表示恶化、绿色箭头↓表示改善），管理层一打开看板即可快速掌握物流运营全局。</w:t>
      </w:r>
    </w:p>
    <w:p w14:paraId="0565D1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cstheme="minorEastAsia"/>
          <w:sz w:val="24"/>
          <w:szCs w:val="24"/>
          <w:lang w:val="en-US" w:eastAsia="zh-CN"/>
        </w:rPr>
        <w:t>2.</w:t>
      </w:r>
      <w:r>
        <w:rPr>
          <w:rFonts w:hint="eastAsia" w:ascii="Times New Roman" w:hAnsi="Times New Roman" w:eastAsiaTheme="minorEastAsia" w:cstheme="minorEastAsia"/>
          <w:sz w:val="24"/>
          <w:szCs w:val="24"/>
          <w:lang w:val="en-US" w:eastAsia="zh-CN"/>
        </w:rPr>
        <w:t>时效分析区。使用柱状图展示各收货区域的平均送货时间对比，使用折线图展示送货时间的日度/周度变化趋势，使用瀑布图展示全链路各环节耗时拆解。通过多图表联动，点击某区域柱状图即可筛选该区域的详细数据。</w:t>
      </w:r>
    </w:p>
    <w:p w14:paraId="32D3C6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cstheme="minorEastAsia"/>
          <w:sz w:val="24"/>
          <w:szCs w:val="24"/>
          <w:lang w:val="en-US" w:eastAsia="zh-CN"/>
        </w:rPr>
        <w:t>3.</w:t>
      </w:r>
      <w:r>
        <w:rPr>
          <w:rFonts w:hint="eastAsia" w:ascii="Times New Roman" w:hAnsi="Times New Roman" w:eastAsiaTheme="minorEastAsia" w:cstheme="minorEastAsia"/>
          <w:sz w:val="24"/>
          <w:szCs w:val="24"/>
          <w:lang w:val="en-US" w:eastAsia="zh-CN"/>
        </w:rPr>
        <w:t>成本分析区。使用饼图展示物流成本结构占比（仓储/运输/包装/人工/管理），使用簇状柱形图对比各物流商的单位成本和服务质量指标，使用散点图展示“单位成本 vs 准时送达率”的效率象限分布，识别高性价比物流商。</w:t>
      </w:r>
    </w:p>
    <w:p w14:paraId="475925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cstheme="minorEastAsia"/>
          <w:sz w:val="24"/>
          <w:szCs w:val="24"/>
          <w:lang w:val="en-US" w:eastAsia="zh-CN"/>
        </w:rPr>
        <w:t>4.</w:t>
      </w:r>
      <w:r>
        <w:rPr>
          <w:rFonts w:hint="eastAsia" w:ascii="Times New Roman" w:hAnsi="Times New Roman" w:eastAsiaTheme="minorEastAsia" w:cstheme="minorEastAsia"/>
          <w:sz w:val="24"/>
          <w:szCs w:val="24"/>
          <w:lang w:val="en-US" w:eastAsia="zh-CN"/>
        </w:rPr>
        <w:t>质量监控区。使用帕累托图展示各类质量问题的频数分布和累计占比，使用热力图展示不同区域×不同物流商的质量问题发生率矩阵，快速定位质量问题的高发区域和高发物流商。</w:t>
      </w:r>
    </w:p>
    <w:p w14:paraId="20779E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drawing>
          <wp:inline distT="0" distB="0" distL="0" distR="0">
            <wp:extent cx="4953000" cy="3429000"/>
            <wp:effectExtent l="0" t="0" r="0" b="0"/>
            <wp:docPr id="7" name="Chart"/>
            <wp:cNvGraphicFramePr/>
            <a:graphic xmlns:a="http://schemas.openxmlformats.org/drawingml/2006/main">
              <a:graphicData uri="http://schemas.openxmlformats.org/drawingml/2006/picture">
                <pic:pic xmlns:pic="http://schemas.openxmlformats.org/drawingml/2006/picture">
                  <pic:nvPicPr>
                    <pic:cNvPr id="7" name="Chart"/>
                    <pic:cNvPicPr/>
                  </pic:nvPicPr>
                  <pic:blipFill>
                    <a:blip r:embed="rId12"/>
                    <a:stretch>
                      <a:fillRect/>
                    </a:stretch>
                  </pic:blipFill>
                  <pic:spPr>
                    <a:xfrm>
                      <a:off x="0" y="0"/>
                      <a:ext cx="4953000" cy="3429000"/>
                    </a:xfrm>
                    <a:prstGeom prst="rect">
                      <a:avLst/>
                    </a:prstGeom>
                  </pic:spPr>
                </pic:pic>
              </a:graphicData>
            </a:graphic>
          </wp:inline>
        </w:drawing>
      </w:r>
    </w:p>
    <w:p w14:paraId="654B608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Theme="minorEastAsia" w:cstheme="minorEastAsia"/>
          <w:sz w:val="24"/>
          <w:szCs w:val="24"/>
          <w:lang w:val="en-US" w:eastAsia="zh-CN"/>
        </w:rPr>
      </w:pPr>
      <w:r>
        <w:rPr>
          <w:rFonts w:hint="eastAsia" w:ascii="Times New Roman" w:hAnsi="Times New Roman" w:eastAsiaTheme="minorEastAsia" w:cstheme="minorEastAsia"/>
          <w:sz w:val="24"/>
          <w:szCs w:val="24"/>
          <w:lang w:val="en-US" w:eastAsia="zh-CN"/>
        </w:rPr>
        <w:t>图6-</w:t>
      </w:r>
      <w:r>
        <w:rPr>
          <w:rFonts w:hint="eastAsia" w:ascii="Times New Roman" w:hAnsi="Times New Roman" w:cstheme="minorEastAsia"/>
          <w:sz w:val="24"/>
          <w:szCs w:val="24"/>
          <w:lang w:val="en-US" w:eastAsia="zh-CN"/>
        </w:rPr>
        <w:t>8</w:t>
      </w:r>
      <w:r>
        <w:rPr>
          <w:rFonts w:hint="eastAsia" w:ascii="Times New Roman" w:hAnsi="Times New Roman" w:eastAsiaTheme="minorEastAsia" w:cstheme="minorEastAsia"/>
          <w:sz w:val="24"/>
          <w:szCs w:val="24"/>
          <w:lang w:val="en-US" w:eastAsia="zh-CN"/>
        </w:rPr>
        <w:t xml:space="preserve"> 物流数据看板布局示意图</w:t>
      </w:r>
    </w:p>
    <w:p w14:paraId="646EC00B">
      <w:pPr>
        <w:pStyle w:val="3"/>
        <w:spacing w:line="360" w:lineRule="auto"/>
        <w:rPr>
          <w:rFonts w:hint="eastAsia" w:ascii="宋体" w:hAnsi="宋体" w:eastAsia="宋体" w:cs="宋体"/>
          <w:sz w:val="24"/>
          <w:szCs w:val="24"/>
        </w:rPr>
      </w:pPr>
    </w:p>
    <w:p w14:paraId="44258262">
      <w:pPr>
        <w:pStyle w:val="3"/>
        <w:spacing w:line="360" w:lineRule="auto"/>
        <w:rPr>
          <w:rFonts w:hint="eastAsia" w:ascii="宋体" w:hAnsi="宋体" w:eastAsia="宋体" w:cs="宋体"/>
          <w:sz w:val="24"/>
          <w:szCs w:val="24"/>
        </w:rPr>
      </w:pPr>
    </w:p>
    <w:p w14:paraId="33B74BAF">
      <w:pPr>
        <w:pStyle w:val="3"/>
        <w:spacing w:line="360" w:lineRule="auto"/>
        <w:rPr>
          <w:rFonts w:hint="eastAsia" w:ascii="宋体" w:hAnsi="宋体" w:eastAsia="宋体" w:cs="宋体"/>
          <w:sz w:val="24"/>
          <w:szCs w:val="24"/>
        </w:rPr>
      </w:pPr>
    </w:p>
    <w:p w14:paraId="67FCF8D9">
      <w:pPr>
        <w:pStyle w:val="3"/>
        <w:spacing w:line="360" w:lineRule="auto"/>
        <w:jc w:val="center"/>
        <w:rPr>
          <w:rFonts w:hint="eastAsia" w:ascii="宋体" w:hAnsi="宋体" w:eastAsia="宋体" w:cs="宋体"/>
          <w:sz w:val="24"/>
          <w:szCs w:val="24"/>
        </w:rPr>
      </w:pPr>
      <w:r>
        <w:rPr>
          <w:rFonts w:hint="eastAsia" w:ascii="Times New Roman" w:hAnsi="Times New Roman" w:eastAsiaTheme="minorEastAsia" w:cstheme="minorEastAsia"/>
          <w:sz w:val="24"/>
          <w:szCs w:val="24"/>
        </w:rPr>
        <mc:AlternateContent>
          <mc:Choice Requires="wps">
            <w:drawing>
              <wp:anchor distT="0" distB="0" distL="114300" distR="114300" simplePos="0" relativeHeight="251664384" behindDoc="0" locked="0" layoutInCell="1" allowOverlap="1">
                <wp:simplePos x="0" y="0"/>
                <wp:positionH relativeFrom="column">
                  <wp:posOffset>-174625</wp:posOffset>
                </wp:positionH>
                <wp:positionV relativeFrom="paragraph">
                  <wp:posOffset>-46355</wp:posOffset>
                </wp:positionV>
                <wp:extent cx="6096635" cy="4563110"/>
                <wp:effectExtent l="12700" t="12700" r="24765" b="15240"/>
                <wp:wrapNone/>
                <wp:docPr id="11" name="圆角矩形 11"/>
                <wp:cNvGraphicFramePr/>
                <a:graphic xmlns:a="http://schemas.openxmlformats.org/drawingml/2006/main">
                  <a:graphicData uri="http://schemas.microsoft.com/office/word/2010/wordprocessingShape">
                    <wps:wsp>
                      <wps:cNvSpPr/>
                      <wps:spPr>
                        <a:xfrm>
                          <a:off x="0" y="0"/>
                          <a:ext cx="6096635" cy="4563110"/>
                        </a:xfrm>
                        <a:prstGeom prst="roundRect">
                          <a:avLst>
                            <a:gd name="adj" fmla="val 10559"/>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75pt;margin-top:-3.65pt;height:359.3pt;width:480.05pt;z-index:251664384;v-text-anchor:middle;mso-width-relative:page;mso-height-relative:page;" filled="f" stroked="t" coordsize="21600,21600" arcsize="0.105601851851852" o:gfxdata="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wwt2StoAAAAKAQAA&#10;DwAAAAAAAAABACAAAAAiAAAAZHJzL2Rvd25yZXYueG1sUEsBAhQAFAAAAAgAh07iQDhPmXSJAgAA&#10;7gQAAA4AAAAAAAAAAQAgAAAAKQEAAGRycy9lMm9Eb2MueG1sUEsFBgAAAAAGAAYAWQEAACQGAAAA&#10;AA==&#10;">
                <v:fill on="f" focussize="0,0"/>
                <v:stroke weight="2pt" color="#4F81BD [3204]" joinstyle="round"/>
                <v:imagedata o:title=""/>
                <o:lock v:ext="edit" aspectratio="f"/>
              </v:roundrect>
            </w:pict>
          </mc:Fallback>
        </mc:AlternateContent>
      </w:r>
      <w:r>
        <w:rPr>
          <w:rFonts w:hint="eastAsia" w:ascii="宋体" w:hAnsi="宋体" w:eastAsia="宋体" w:cs="宋体"/>
          <w:sz w:val="24"/>
          <w:szCs w:val="24"/>
        </w:rPr>
        <w:t>【AI加速】Power BI Copilot智能分析</w:t>
      </w:r>
    </w:p>
    <w:p w14:paraId="52F677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Power BI内置Copilot AI助手，可通过自然语言交互实现智能分析和报告生成，大幅降低数据分析门槛。核心功能包括：</w:t>
      </w:r>
    </w:p>
    <w:p w14:paraId="1909FD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cstheme="minorEastAsia"/>
          <w:sz w:val="24"/>
          <w:szCs w:val="24"/>
          <w:lang w:val="en-US" w:eastAsia="zh-CN"/>
        </w:rPr>
        <w:t>(一）</w:t>
      </w:r>
      <w:r>
        <w:rPr>
          <w:rFonts w:hint="eastAsia" w:ascii="Times New Roman" w:hAnsi="Times New Roman" w:eastAsiaTheme="minorEastAsia" w:cstheme="minorEastAsia"/>
          <w:sz w:val="24"/>
          <w:szCs w:val="24"/>
        </w:rPr>
        <w:t>自然语言提问。在Power BI的提问框中输入自然语言问题，如“哪个区域的准时送达率最低”“本月物流成本环比变化如何”，Copilot将自动生成对应的可视化图表和文字解答。</w:t>
      </w:r>
    </w:p>
    <w:p w14:paraId="57928F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cstheme="minorEastAsia"/>
          <w:sz w:val="24"/>
          <w:szCs w:val="24"/>
          <w:lang w:eastAsia="zh-CN"/>
        </w:rPr>
        <w:t>（</w:t>
      </w:r>
      <w:r>
        <w:rPr>
          <w:rFonts w:hint="eastAsia" w:ascii="Times New Roman" w:hAnsi="Times New Roman" w:cstheme="minorEastAsia"/>
          <w:sz w:val="24"/>
          <w:szCs w:val="24"/>
          <w:lang w:val="en-US" w:eastAsia="zh-CN"/>
        </w:rPr>
        <w:t>二）</w:t>
      </w:r>
      <w:r>
        <w:rPr>
          <w:rFonts w:hint="eastAsia" w:ascii="Times New Roman" w:hAnsi="Times New Roman" w:eastAsiaTheme="minorEastAsia" w:cstheme="minorEastAsia"/>
          <w:sz w:val="24"/>
          <w:szCs w:val="24"/>
        </w:rPr>
        <w:t>智能洞察发现。Copilot可自动扫描数据，识别异常值和趋势变化，如“西南地区准时送达率本月下降8个百分点，主要受物流商B运力不足影响”，主动推送关键发现。</w:t>
      </w:r>
    </w:p>
    <w:p w14:paraId="631EE4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cstheme="minorEastAsia"/>
          <w:sz w:val="24"/>
          <w:szCs w:val="24"/>
          <w:lang w:eastAsia="zh-CN"/>
        </w:rPr>
        <w:t>（</w:t>
      </w:r>
      <w:r>
        <w:rPr>
          <w:rFonts w:hint="eastAsia" w:ascii="Times New Roman" w:hAnsi="Times New Roman" w:cstheme="minorEastAsia"/>
          <w:sz w:val="24"/>
          <w:szCs w:val="24"/>
          <w:lang w:val="en-US" w:eastAsia="zh-CN"/>
        </w:rPr>
        <w:t>三）</w:t>
      </w:r>
      <w:r>
        <w:rPr>
          <w:rFonts w:hint="eastAsia" w:ascii="Times New Roman" w:hAnsi="Times New Roman" w:eastAsiaTheme="minorEastAsia" w:cstheme="minorEastAsia"/>
          <w:sz w:val="24"/>
          <w:szCs w:val="24"/>
        </w:rPr>
        <w:t>一键生成报告。基于看板数据，Copilot可自动生成结构化的分析报告，包含关键指标概览、趋势分析、问题诊断和优化建议，大幅减少手动撰写报告的工作量。</w:t>
      </w:r>
    </w:p>
    <w:p w14:paraId="4DF2A6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stheme="minorEastAsia"/>
          <w:sz w:val="24"/>
          <w:szCs w:val="24"/>
        </w:rPr>
      </w:pPr>
      <w:r>
        <w:rPr>
          <w:rFonts w:hint="eastAsia" w:ascii="Times New Roman" w:hAnsi="Times New Roman" w:cstheme="minorEastAsia"/>
          <w:sz w:val="24"/>
          <w:szCs w:val="24"/>
          <w:lang w:eastAsia="zh-CN"/>
        </w:rPr>
        <w:t>（</w:t>
      </w:r>
      <w:r>
        <w:rPr>
          <w:rFonts w:hint="eastAsia" w:ascii="Times New Roman" w:hAnsi="Times New Roman" w:cstheme="minorEastAsia"/>
          <w:sz w:val="24"/>
          <w:szCs w:val="24"/>
          <w:lang w:val="en-US" w:eastAsia="zh-CN"/>
        </w:rPr>
        <w:t>四）</w:t>
      </w:r>
      <w:r>
        <w:rPr>
          <w:rFonts w:hint="eastAsia" w:ascii="Times New Roman" w:hAnsi="Times New Roman" w:eastAsiaTheme="minorEastAsia" w:cstheme="minorEastAsia"/>
          <w:sz w:val="24"/>
          <w:szCs w:val="24"/>
        </w:rPr>
        <w:t>对话式深入分析。通过与Copilot的多轮对话，逐步深入分析问题根源，如“为什么双十一期间仓库处理时间翻倍”→“是哪些SKU的分拣耗时最长”→“这些SKU的订单量分布如何”，实现层层下钻的探索式分析。</w:t>
      </w:r>
    </w:p>
    <w:p w14:paraId="4E8B3787">
      <w:pPr>
        <w:pStyle w:val="3"/>
        <w:spacing w:line="360" w:lineRule="auto"/>
        <w:rPr>
          <w:rFonts w:hint="eastAsia" w:ascii="宋体" w:hAnsi="宋体" w:eastAsia="宋体" w:cs="宋体"/>
          <w:sz w:val="24"/>
          <w:szCs w:val="24"/>
        </w:rPr>
      </w:pPr>
      <w:r>
        <w:rPr>
          <w:rFonts w:hint="eastAsia" w:ascii="宋体" w:hAnsi="宋体" w:eastAsia="宋体" w:cs="宋体"/>
          <w:sz w:val="24"/>
          <w:szCs w:val="24"/>
        </w:rPr>
        <w:t>【AI助训】选取高效的第三方物流公司</w:t>
      </w:r>
    </w:p>
    <w:p w14:paraId="2ABA7F24">
      <w:pPr>
        <w:pStyle w:val="4"/>
        <w:spacing w:line="360" w:lineRule="auto"/>
        <w:rPr>
          <w:rFonts w:hint="eastAsia" w:ascii="宋体" w:hAnsi="宋体" w:eastAsia="宋体" w:cs="宋体"/>
          <w:sz w:val="24"/>
          <w:szCs w:val="24"/>
        </w:rPr>
      </w:pPr>
      <w:r>
        <w:rPr>
          <w:rFonts w:hint="eastAsia" w:ascii="宋体" w:hAnsi="宋体" w:eastAsia="宋体" w:cs="宋体"/>
          <w:sz w:val="24"/>
          <w:szCs w:val="24"/>
        </w:rPr>
        <w:t>实训背景</w:t>
      </w:r>
    </w:p>
    <w:p w14:paraId="6FDB44C3">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某生鲜电商店铺目前合作A、B、C三家第三方快递公司，主营生鲜果蔬、冷藏食品，核心客群为一二线城市，对配送时效和包裹完好性要求极高（行业基准：准时送达率≥95%，包裹完好率≥99%）。现需基于近3个月的物流履约数据，从时效、成本、质量三个维度分析各快递公司的履约能力，筛选出高效、高性价比的合作快递公司，同时提出针对性的物流方案优化建议。</w:t>
      </w:r>
    </w:p>
    <w:p w14:paraId="1850D35C">
      <w:pPr>
        <w:pStyle w:val="4"/>
        <w:spacing w:line="360" w:lineRule="auto"/>
        <w:rPr>
          <w:rFonts w:hint="eastAsia" w:ascii="宋体" w:hAnsi="宋体" w:eastAsia="宋体" w:cs="宋体"/>
          <w:sz w:val="24"/>
          <w:szCs w:val="24"/>
        </w:rPr>
      </w:pPr>
      <w:r>
        <w:rPr>
          <w:rFonts w:hint="eastAsia" w:ascii="宋体" w:hAnsi="宋体" w:eastAsia="宋体" w:cs="宋体"/>
          <w:sz w:val="24"/>
          <w:szCs w:val="24"/>
        </w:rPr>
        <w:t>实训数据</w:t>
      </w:r>
    </w:p>
    <w:p w14:paraId="02975309">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近3个月三家快递公司的核心物流指标如下表所示：</w:t>
      </w:r>
    </w:p>
    <w:tbl>
      <w:tblPr>
        <w:tblStyle w:val="11"/>
        <w:tblW w:w="501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64"/>
        <w:gridCol w:w="1558"/>
        <w:gridCol w:w="1292"/>
        <w:gridCol w:w="2086"/>
        <w:gridCol w:w="1550"/>
        <w:gridCol w:w="1550"/>
      </w:tblGrid>
      <w:tr w14:paraId="113B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6" w:hRule="atLeast"/>
          <w:jc w:val="center"/>
        </w:trPr>
        <w:tc>
          <w:tcPr>
            <w:tcW w:w="679" w:type="pct"/>
            <w:tcMar>
              <w:top w:w="60" w:type="dxa"/>
              <w:left w:w="120" w:type="dxa"/>
              <w:bottom w:w="30" w:type="dxa"/>
              <w:right w:w="120" w:type="dxa"/>
            </w:tcMar>
          </w:tcPr>
          <w:p w14:paraId="72F55059">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快递公司</w:t>
            </w:r>
          </w:p>
        </w:tc>
        <w:tc>
          <w:tcPr>
            <w:tcW w:w="837" w:type="pct"/>
            <w:tcMar>
              <w:top w:w="60" w:type="dxa"/>
              <w:left w:w="120" w:type="dxa"/>
              <w:bottom w:w="30" w:type="dxa"/>
              <w:right w:w="120" w:type="dxa"/>
            </w:tcMar>
          </w:tcPr>
          <w:p w14:paraId="7EAC6148">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平均送货时间（h）</w:t>
            </w:r>
          </w:p>
        </w:tc>
        <w:tc>
          <w:tcPr>
            <w:tcW w:w="694" w:type="pct"/>
            <w:tcMar>
              <w:top w:w="60" w:type="dxa"/>
              <w:left w:w="120" w:type="dxa"/>
              <w:bottom w:w="30" w:type="dxa"/>
              <w:right w:w="120" w:type="dxa"/>
            </w:tcMar>
          </w:tcPr>
          <w:p w14:paraId="55D4A1CC">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准时送达率</w:t>
            </w:r>
          </w:p>
        </w:tc>
        <w:tc>
          <w:tcPr>
            <w:tcW w:w="1121" w:type="pct"/>
            <w:tcMar>
              <w:top w:w="60" w:type="dxa"/>
              <w:left w:w="120" w:type="dxa"/>
              <w:bottom w:w="30" w:type="dxa"/>
              <w:right w:w="120" w:type="dxa"/>
            </w:tcMar>
          </w:tcPr>
          <w:p w14:paraId="2EE973CE">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单位物流成本（元/单）</w:t>
            </w:r>
          </w:p>
        </w:tc>
        <w:tc>
          <w:tcPr>
            <w:tcMar>
              <w:top w:w="60" w:type="dxa"/>
              <w:left w:w="120" w:type="dxa"/>
              <w:bottom w:w="30" w:type="dxa"/>
              <w:right w:w="120" w:type="dxa"/>
            </w:tcMar>
          </w:tcPr>
          <w:p w14:paraId="65357CF5">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包裹完好率</w:t>
            </w:r>
          </w:p>
        </w:tc>
        <w:tc>
          <w:tcPr>
            <w:tcMar>
              <w:top w:w="60" w:type="dxa"/>
              <w:left w:w="120" w:type="dxa"/>
              <w:bottom w:w="30" w:type="dxa"/>
              <w:right w:w="120" w:type="dxa"/>
            </w:tcMar>
          </w:tcPr>
          <w:p w14:paraId="5E967C9F">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合作订单量（单）</w:t>
            </w:r>
          </w:p>
        </w:tc>
      </w:tr>
      <w:tr w14:paraId="0090D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9" w:hRule="atLeast"/>
          <w:jc w:val="center"/>
        </w:trPr>
        <w:tc>
          <w:tcPr>
            <w:tcW w:w="679" w:type="pct"/>
            <w:tcMar>
              <w:top w:w="60" w:type="dxa"/>
              <w:left w:w="120" w:type="dxa"/>
              <w:bottom w:w="30" w:type="dxa"/>
              <w:right w:w="120" w:type="dxa"/>
            </w:tcMar>
          </w:tcPr>
          <w:p w14:paraId="02B4B961">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A</w:t>
            </w:r>
          </w:p>
        </w:tc>
        <w:tc>
          <w:tcPr>
            <w:tcW w:w="837" w:type="pct"/>
            <w:tcMar>
              <w:top w:w="60" w:type="dxa"/>
              <w:left w:w="120" w:type="dxa"/>
              <w:bottom w:w="30" w:type="dxa"/>
              <w:right w:w="120" w:type="dxa"/>
            </w:tcMar>
          </w:tcPr>
          <w:p w14:paraId="089A1F36">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42</w:t>
            </w:r>
          </w:p>
        </w:tc>
        <w:tc>
          <w:tcPr>
            <w:tcW w:w="694" w:type="pct"/>
            <w:tcMar>
              <w:top w:w="60" w:type="dxa"/>
              <w:left w:w="120" w:type="dxa"/>
              <w:bottom w:w="30" w:type="dxa"/>
              <w:right w:w="120" w:type="dxa"/>
            </w:tcMar>
          </w:tcPr>
          <w:p w14:paraId="7F94C66F">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95%</w:t>
            </w:r>
          </w:p>
        </w:tc>
        <w:tc>
          <w:tcPr>
            <w:tcW w:w="1121" w:type="pct"/>
            <w:tcMar>
              <w:top w:w="60" w:type="dxa"/>
              <w:left w:w="120" w:type="dxa"/>
              <w:bottom w:w="30" w:type="dxa"/>
              <w:right w:w="120" w:type="dxa"/>
            </w:tcMar>
          </w:tcPr>
          <w:p w14:paraId="533A9010">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8.5</w:t>
            </w:r>
          </w:p>
        </w:tc>
        <w:tc>
          <w:tcPr>
            <w:tcMar>
              <w:top w:w="60" w:type="dxa"/>
              <w:left w:w="120" w:type="dxa"/>
              <w:bottom w:w="30" w:type="dxa"/>
              <w:right w:w="120" w:type="dxa"/>
            </w:tcMar>
          </w:tcPr>
          <w:p w14:paraId="676BC38F">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99.2%</w:t>
            </w:r>
          </w:p>
        </w:tc>
        <w:tc>
          <w:tcPr>
            <w:tcMar>
              <w:top w:w="60" w:type="dxa"/>
              <w:left w:w="120" w:type="dxa"/>
              <w:bottom w:w="30" w:type="dxa"/>
              <w:right w:w="120" w:type="dxa"/>
            </w:tcMar>
          </w:tcPr>
          <w:p w14:paraId="1B84AA09">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12000</w:t>
            </w:r>
          </w:p>
        </w:tc>
      </w:tr>
      <w:tr w14:paraId="76BC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8" w:hRule="atLeast"/>
          <w:jc w:val="center"/>
        </w:trPr>
        <w:tc>
          <w:tcPr>
            <w:tcW w:w="679" w:type="pct"/>
            <w:tcMar>
              <w:top w:w="60" w:type="dxa"/>
              <w:left w:w="120" w:type="dxa"/>
              <w:bottom w:w="30" w:type="dxa"/>
              <w:right w:w="120" w:type="dxa"/>
            </w:tcMar>
          </w:tcPr>
          <w:p w14:paraId="77AA0DC4">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B</w:t>
            </w:r>
          </w:p>
        </w:tc>
        <w:tc>
          <w:tcPr>
            <w:tcW w:w="837" w:type="pct"/>
            <w:tcMar>
              <w:top w:w="60" w:type="dxa"/>
              <w:left w:w="120" w:type="dxa"/>
              <w:bottom w:w="30" w:type="dxa"/>
              <w:right w:w="120" w:type="dxa"/>
            </w:tcMar>
          </w:tcPr>
          <w:p w14:paraId="6115A0D9">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36</w:t>
            </w:r>
          </w:p>
        </w:tc>
        <w:tc>
          <w:tcPr>
            <w:tcW w:w="694" w:type="pct"/>
            <w:tcMar>
              <w:top w:w="60" w:type="dxa"/>
              <w:left w:w="120" w:type="dxa"/>
              <w:bottom w:w="30" w:type="dxa"/>
              <w:right w:w="120" w:type="dxa"/>
            </w:tcMar>
          </w:tcPr>
          <w:p w14:paraId="63358154">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97%</w:t>
            </w:r>
          </w:p>
        </w:tc>
        <w:tc>
          <w:tcPr>
            <w:tcW w:w="1121" w:type="pct"/>
            <w:tcMar>
              <w:top w:w="60" w:type="dxa"/>
              <w:left w:w="120" w:type="dxa"/>
              <w:bottom w:w="30" w:type="dxa"/>
              <w:right w:w="120" w:type="dxa"/>
            </w:tcMar>
          </w:tcPr>
          <w:p w14:paraId="7F362D6E">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10.2</w:t>
            </w:r>
          </w:p>
        </w:tc>
        <w:tc>
          <w:tcPr>
            <w:tcMar>
              <w:top w:w="60" w:type="dxa"/>
              <w:left w:w="120" w:type="dxa"/>
              <w:bottom w:w="30" w:type="dxa"/>
              <w:right w:w="120" w:type="dxa"/>
            </w:tcMar>
          </w:tcPr>
          <w:p w14:paraId="3CB2FD21">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99.5%</w:t>
            </w:r>
          </w:p>
        </w:tc>
        <w:tc>
          <w:tcPr>
            <w:tcMar>
              <w:top w:w="60" w:type="dxa"/>
              <w:left w:w="120" w:type="dxa"/>
              <w:bottom w:w="30" w:type="dxa"/>
              <w:right w:w="120" w:type="dxa"/>
            </w:tcMar>
          </w:tcPr>
          <w:p w14:paraId="60F8458E">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8000</w:t>
            </w:r>
          </w:p>
        </w:tc>
      </w:tr>
      <w:tr w14:paraId="7687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9" w:hRule="atLeast"/>
          <w:jc w:val="center"/>
        </w:trPr>
        <w:tc>
          <w:tcPr>
            <w:tcW w:w="679" w:type="pct"/>
            <w:tcMar>
              <w:top w:w="60" w:type="dxa"/>
              <w:left w:w="120" w:type="dxa"/>
              <w:bottom w:w="30" w:type="dxa"/>
              <w:right w:w="120" w:type="dxa"/>
            </w:tcMar>
          </w:tcPr>
          <w:p w14:paraId="725C226B">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C</w:t>
            </w:r>
          </w:p>
        </w:tc>
        <w:tc>
          <w:tcPr>
            <w:tcW w:w="837" w:type="pct"/>
            <w:tcMar>
              <w:top w:w="60" w:type="dxa"/>
              <w:left w:w="120" w:type="dxa"/>
              <w:bottom w:w="30" w:type="dxa"/>
              <w:right w:w="120" w:type="dxa"/>
            </w:tcMar>
          </w:tcPr>
          <w:p w14:paraId="6AA03945">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58</w:t>
            </w:r>
          </w:p>
        </w:tc>
        <w:tc>
          <w:tcPr>
            <w:tcW w:w="694" w:type="pct"/>
            <w:tcMar>
              <w:top w:w="60" w:type="dxa"/>
              <w:left w:w="120" w:type="dxa"/>
              <w:bottom w:w="30" w:type="dxa"/>
              <w:right w:w="120" w:type="dxa"/>
            </w:tcMar>
          </w:tcPr>
          <w:p w14:paraId="1D3E22DD">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88%</w:t>
            </w:r>
          </w:p>
        </w:tc>
        <w:tc>
          <w:tcPr>
            <w:tcW w:w="1121" w:type="pct"/>
            <w:tcMar>
              <w:top w:w="60" w:type="dxa"/>
              <w:left w:w="120" w:type="dxa"/>
              <w:bottom w:w="30" w:type="dxa"/>
              <w:right w:w="120" w:type="dxa"/>
            </w:tcMar>
          </w:tcPr>
          <w:p w14:paraId="701FD6B7">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6.8</w:t>
            </w:r>
          </w:p>
        </w:tc>
        <w:tc>
          <w:tcPr>
            <w:tcMar>
              <w:top w:w="60" w:type="dxa"/>
              <w:left w:w="120" w:type="dxa"/>
              <w:bottom w:w="30" w:type="dxa"/>
              <w:right w:w="120" w:type="dxa"/>
            </w:tcMar>
          </w:tcPr>
          <w:p w14:paraId="07CB9BCE">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97.8%</w:t>
            </w:r>
          </w:p>
        </w:tc>
        <w:tc>
          <w:tcPr>
            <w:tcMar>
              <w:top w:w="60" w:type="dxa"/>
              <w:left w:w="120" w:type="dxa"/>
              <w:bottom w:w="30" w:type="dxa"/>
              <w:right w:w="120" w:type="dxa"/>
            </w:tcMar>
          </w:tcPr>
          <w:p w14:paraId="62EFA8DF">
            <w:pPr>
              <w:pStyle w:val="18"/>
              <w:spacing w:line="360" w:lineRule="auto"/>
              <w:jc w:val="center"/>
              <w:rPr>
                <w:rFonts w:hint="eastAsia" w:ascii="宋体" w:hAnsi="宋体" w:eastAsia="宋体" w:cs="宋体"/>
                <w:sz w:val="24"/>
                <w:szCs w:val="24"/>
              </w:rPr>
            </w:pPr>
            <w:r>
              <w:rPr>
                <w:rFonts w:hint="eastAsia" w:ascii="宋体" w:hAnsi="宋体" w:eastAsia="宋体" w:cs="宋体"/>
                <w:sz w:val="24"/>
                <w:szCs w:val="24"/>
              </w:rPr>
              <w:t>5000</w:t>
            </w:r>
          </w:p>
        </w:tc>
      </w:tr>
    </w:tbl>
    <w:p w14:paraId="1CEE2F99">
      <w:pPr>
        <w:pStyle w:val="4"/>
        <w:spacing w:line="360" w:lineRule="auto"/>
        <w:rPr>
          <w:rFonts w:hint="eastAsia" w:ascii="宋体" w:hAnsi="宋体" w:eastAsia="宋体" w:cs="宋体"/>
          <w:sz w:val="24"/>
          <w:szCs w:val="24"/>
        </w:rPr>
      </w:pPr>
      <w:r>
        <w:rPr>
          <w:rFonts w:hint="eastAsia" w:ascii="宋体" w:hAnsi="宋体" w:eastAsia="宋体" w:cs="宋体"/>
          <w:sz w:val="24"/>
          <w:szCs w:val="24"/>
        </w:rPr>
        <w:t>实训要求</w:t>
      </w:r>
    </w:p>
    <w:p w14:paraId="714EEA39">
      <w:pPr>
        <w:pStyle w:val="18"/>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基于实训数据，从时效、成本、质量三个维度对A、B、C三家快递公司进行对比分析，明确各公司的优势与短板；</w:t>
      </w:r>
    </w:p>
    <w:p w14:paraId="5317EB31">
      <w:pPr>
        <w:pStyle w:val="18"/>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结合店铺的客群特征（一二线城市）和品类特点（生鲜，高时效、高质量要求），综合评估并选取1-2家高效的第三方快递公司，详细说明选择依据；</w:t>
      </w:r>
    </w:p>
    <w:p w14:paraId="25AC2B10">
      <w:pPr>
        <w:pStyle w:val="18"/>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针对落选快递公司的问题，以及店铺整体物流履约的卡点，提出3条具体、可落地的物流方案优化建议；</w:t>
      </w:r>
    </w:p>
    <w:p w14:paraId="07567DEF">
      <w:pPr>
        <w:pStyle w:val="18"/>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利用Power BI制作本次物流分析的可视化仪表盘，包含核心指标对比、合作方性价比分析等内容，并撰写简短的物流履约分析报告。</w:t>
      </w:r>
    </w:p>
    <w:p w14:paraId="0C71BB56">
      <w:pPr>
        <w:pStyle w:val="3"/>
        <w:spacing w:line="360" w:lineRule="auto"/>
        <w:rPr>
          <w:rFonts w:hint="eastAsia" w:ascii="宋体" w:hAnsi="宋体" w:eastAsia="宋体" w:cs="宋体"/>
          <w:sz w:val="24"/>
          <w:szCs w:val="24"/>
        </w:rPr>
      </w:pPr>
      <w:r>
        <w:rPr>
          <w:rFonts w:hint="eastAsia" w:ascii="宋体" w:hAnsi="宋体" w:eastAsia="宋体" w:cs="宋体"/>
          <w:sz w:val="24"/>
          <w:szCs w:val="24"/>
        </w:rPr>
        <w:t>【项目自测】</w:t>
      </w:r>
    </w:p>
    <w:p w14:paraId="6EB02D43">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物流履约核心指标分为哪三大维度？各维度包含哪些基础指标，分别写出其计算方法；</w:t>
      </w:r>
    </w:p>
    <w:p w14:paraId="12A5E7D2">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简述物流履约数据规约的两种核心方法，分别说明其实操要点；</w:t>
      </w:r>
    </w:p>
    <w:p w14:paraId="06F3D234">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物流时效分析的核心维度有哪些？如何通过环节拆解定位时效卡点？</w:t>
      </w:r>
    </w:p>
    <w:p w14:paraId="47E62181">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物流成本分析为何要做“性价比分析”，而非单纯追求“低成本”？</w:t>
      </w:r>
    </w:p>
    <w:p w14:paraId="66DE3508">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Power BI制作物流可视化</w:t>
      </w:r>
      <w:r>
        <w:rPr>
          <w:rFonts w:hint="eastAsia" w:ascii="宋体" w:hAnsi="宋体" w:eastAsia="宋体" w:cs="宋体"/>
          <w:sz w:val="24"/>
          <w:szCs w:val="24"/>
          <w:lang w:val="en-US" w:eastAsia="zh-CN"/>
        </w:rPr>
        <w:t>报告</w:t>
      </w:r>
      <w:r>
        <w:rPr>
          <w:rFonts w:hint="eastAsia" w:ascii="宋体" w:hAnsi="宋体" w:eastAsia="宋体" w:cs="宋体"/>
          <w:sz w:val="24"/>
          <w:szCs w:val="24"/>
        </w:rPr>
        <w:t>的</w:t>
      </w:r>
      <w:r>
        <w:rPr>
          <w:rFonts w:hint="eastAsia" w:ascii="宋体" w:hAnsi="宋体" w:eastAsia="宋体" w:cs="宋体"/>
          <w:sz w:val="24"/>
          <w:szCs w:val="24"/>
          <w:lang w:val="en-US" w:eastAsia="zh-CN"/>
        </w:rPr>
        <w:t>步骤有哪些</w:t>
      </w:r>
      <w:r>
        <w:rPr>
          <w:rFonts w:hint="eastAsia" w:ascii="宋体" w:hAnsi="宋体" w:eastAsia="宋体" w:cs="宋体"/>
          <w:sz w:val="24"/>
          <w:szCs w:val="24"/>
        </w:rPr>
        <w:t>？核心要点分别是什么？</w:t>
      </w:r>
    </w:p>
    <w:p w14:paraId="5EE77EA5">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6.</w:t>
      </w:r>
      <w:r>
        <w:rPr>
          <w:rFonts w:hint="eastAsia" w:ascii="宋体" w:hAnsi="宋体" w:eastAsia="宋体" w:cs="宋体"/>
          <w:sz w:val="24"/>
          <w:szCs w:val="24"/>
        </w:rPr>
        <w:t>结合生鲜电商的品类特点，说明物流履约优化的核心侧重点。</w:t>
      </w:r>
    </w:p>
    <w:p w14:paraId="30FF2EB5">
      <w:pPr>
        <w:pStyle w:val="3"/>
        <w:spacing w:line="360" w:lineRule="auto"/>
        <w:rPr>
          <w:rFonts w:hint="eastAsia" w:ascii="宋体" w:hAnsi="宋体" w:eastAsia="宋体" w:cs="宋体"/>
          <w:sz w:val="24"/>
          <w:szCs w:val="24"/>
        </w:rPr>
      </w:pPr>
      <w:r>
        <w:rPr>
          <w:rFonts w:hint="eastAsia" w:ascii="宋体" w:hAnsi="宋体" w:eastAsia="宋体" w:cs="宋体"/>
          <w:sz w:val="24"/>
          <w:szCs w:val="24"/>
        </w:rPr>
        <w:t>项目小结</w:t>
      </w:r>
    </w:p>
    <w:p w14:paraId="1A43CAF4">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本项目围绕物流履约数据分析展开，从物流核心指标认知、数据规约、多维度效率分析，到Power BI可视化与智能报告生成，形成了“指标搭建-数据处理-深度分析-可视化呈现-方案优化”的物流履约数据分析完整流程。</w:t>
      </w:r>
    </w:p>
    <w:p w14:paraId="7B339DF5">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通过本项目的学习，能够掌握物流履约“时效-质量-成本”三维核心指标体系的搭建方法，学会物流多源数据的规约与预处理技巧，熟练从时效、成本、质量三个维度开展物流效率深度分析，精准定位物流链路中的卡点、成本浪费点和质量短板；同时能运用Power BI实现物流数据的多源接入、建模清洗与交互式可视化，制作专业的物流履约智能分析报告。</w:t>
      </w:r>
    </w:p>
    <w:p w14:paraId="32A48EDA">
      <w:pPr>
        <w:pStyle w:val="18"/>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结合实训环节的实操与标杆案例的借鉴，能够将理论知识与电商物流的实际场景结合，提升物流数据分析的实战能力，最终能基于数据分析结果，结合企业业务特性（如品类、客群、区域）制定针对性的物流方案优化建议，实现物流履约效率的提升、服务质量的改善与物流成本的合理控制，为企业物流决策提供坚实的数据支撑。</w:t>
      </w:r>
    </w:p>
    <w:p w14:paraId="786A44B6">
      <w:pPr>
        <w:pStyle w:val="3"/>
        <w:spacing w:line="360" w:lineRule="auto"/>
        <w:rPr>
          <w:rFonts w:hint="eastAsia" w:ascii="宋体" w:hAnsi="宋体" w:eastAsia="宋体" w:cs="宋体"/>
          <w:sz w:val="24"/>
          <w:szCs w:val="24"/>
        </w:rPr>
      </w:pPr>
      <w:r>
        <w:rPr>
          <w:rFonts w:hint="eastAsia" w:ascii="宋体" w:hAnsi="宋体" w:eastAsia="宋体" w:cs="宋体"/>
          <w:sz w:val="24"/>
          <w:szCs w:val="24"/>
        </w:rPr>
        <w:t>【评价与反思】</w:t>
      </w:r>
    </w:p>
    <w:p w14:paraId="6E047935">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结合本次项目的实训任务，反思自己在物流数据多维度分析、合作方性价比评估过程中存在的问题，如何提升分析的精准性与实用性？</w:t>
      </w:r>
    </w:p>
    <w:p w14:paraId="702368C1">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物流时效、成本、质量三者存在怎样的关联？在实际物流优化中，如何平衡三者的关系，避免单一维度优化的局限性？</w:t>
      </w:r>
    </w:p>
    <w:p w14:paraId="46FB12F1">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思考在电商企业实际运营中，如何搭建物流履约数据的实时监控体系，实现物流问题的早发现、早解决？</w:t>
      </w:r>
    </w:p>
    <w:p w14:paraId="57C5454E">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结合生鲜、快消、大件家电等不同品类的特性，分析其物流履约分析的核心侧重点有何差异，如何针对性搭建指标体系？</w:t>
      </w:r>
    </w:p>
    <w:p w14:paraId="0F11E5C6">
      <w:pPr>
        <w:pStyle w:val="18"/>
        <w:numPr>
          <w:ilvl w:val="0"/>
          <w:numId w:val="0"/>
        </w:numPr>
        <w:spacing w:line="360" w:lineRule="auto"/>
        <w:ind w:left="210" w:leftChars="0"/>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随着智能物流、冷链物流的发展，未来物流履约数据分析将呈现哪些新趋势？需要提前掌握哪些相关技能？</w:t>
      </w:r>
    </w:p>
    <w:p w14:paraId="214FF3D0">
      <w:pPr>
        <w:pStyle w:val="18"/>
        <w:numPr>
          <w:ilvl w:val="0"/>
          <w:numId w:val="0"/>
        </w:numPr>
        <w:spacing w:line="360" w:lineRule="auto"/>
        <w:ind w:left="210" w:leftChars="0"/>
        <w:rPr>
          <w:rFonts w:hint="eastAsia" w:ascii="宋体" w:hAnsi="宋体" w:eastAsia="宋体" w:cs="宋体"/>
          <w:sz w:val="24"/>
          <w:szCs w:val="24"/>
        </w:rPr>
      </w:pPr>
    </w:p>
    <w:p w14:paraId="1DDAE71F">
      <w:pPr>
        <w:pStyle w:val="18"/>
        <w:spacing w:line="360" w:lineRule="auto"/>
        <w:rPr>
          <w:rFonts w:hint="eastAsia" w:ascii="宋体" w:hAnsi="宋体" w:eastAsia="宋体" w:cs="宋体"/>
          <w:sz w:val="24"/>
          <w:szCs w:val="24"/>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compat>
    <w:useFELayout/>
    <w:compatSetting w:name="compatibilityMode" w:uri="http://schemas.microsoft.com/office/word" w:val="15"/>
  </w:compat>
  <w:rsids>
    <w:rsidRoot w:val="00000000"/>
    <w:rsid w:val="06650491"/>
    <w:rsid w:val="1628360F"/>
    <w:rsid w:val="1DBA7CD6"/>
    <w:rsid w:val="21B05602"/>
    <w:rsid w:val="32A524CA"/>
    <w:rsid w:val="3BAA6BA0"/>
    <w:rsid w:val="3F1038A5"/>
    <w:rsid w:val="45BB2794"/>
    <w:rsid w:val="46D7003F"/>
    <w:rsid w:val="48932ECB"/>
    <w:rsid w:val="4CFA4403"/>
    <w:rsid w:val="5224028D"/>
    <w:rsid w:val="642F4E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basedOn w:val="1"/>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basedOn w:val="1"/>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pPr>
      <w:spacing w:before="480" w:after="480" w:line="288" w:lineRule="auto"/>
      <w:ind w:left="0"/>
    </w:pPr>
    <w:rPr>
      <w:rFonts w:ascii="Arial" w:hAnsi="Arial" w:eastAsia="等线" w:cs="Arial"/>
      <w:b/>
      <w:bCs/>
      <w:sz w:val="52"/>
      <w:szCs w:val="52"/>
    </w:rPr>
  </w:style>
  <w:style w:type="character" w:styleId="13">
    <w:name w:val="Strong"/>
    <w:basedOn w:val="12"/>
    <w:qFormat/>
    <w:uiPriority w:val="0"/>
    <w:rPr>
      <w:b/>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qFormat/>
    <w:uiPriority w:val="99"/>
    <w:rPr>
      <w:sz w:val="20"/>
      <w:szCs w:val="20"/>
    </w:rPr>
  </w:style>
  <w:style w:type="paragraph" w:customStyle="1" w:styleId="18">
    <w:name w:val="_Style 13"/>
    <w:qFormat/>
    <w:uiPriority w:val="0"/>
    <w:pPr>
      <w:spacing w:before="120" w:after="120" w:line="288" w:lineRule="auto"/>
      <w:ind w:left="0"/>
      <w:jc w:val="left"/>
    </w:pPr>
    <w:rPr>
      <w:rFonts w:ascii="Arial" w:hAnsi="Arial" w:eastAsia="等线" w:cs="Arial"/>
      <w:sz w:val="22"/>
      <w:szCs w:val="22"/>
    </w:rPr>
  </w:style>
  <w:style w:type="paragraph" w:customStyle="1" w:styleId="19">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13907</Words>
  <Characters>14748</Characters>
  <TotalTime>7</TotalTime>
  <ScaleCrop>false</ScaleCrop>
  <LinksUpToDate>false</LinksUpToDate>
  <CharactersWithSpaces>14798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2026-03-05T12:12:00Z</dcterms:created>
  <dc:creator>Un-named</dc:creator>
  <cp:lastModifiedBy>Cathy</cp:lastModifiedBy>
  <dcterms:modified xsi:type="dcterms:W3CDTF">2026-05-11T03:17:11Z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eyJoZGlkIjoiMjdmN2JhNDlkYjE1M2EwMDA1ZGQ4OWZhMDQ5MTI1ZGYiLCJ1c2VySWQiOiI1NjY2MzA0MzgifQ==</vt:lpwstr>
  </property>
  <property fmtid="{D5CDD505-2E9C-101B-9397-08002B2CF9AE}" pid="3" name="KSOProductBuildVer">
    <vt:lpwstr>2052-12.1.0.25865</vt:lpwstr>
  </property>
  <property fmtid="{D5CDD505-2E9C-101B-9397-08002B2CF9AE}" pid="4" name="ICV">
    <vt:lpwstr>1FCE9CF67A334FEF9F985061CA920E6B_13</vt:lpwstr>
  </property>
</Properties>
</file>