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5563" w14:textId="77777777" w:rsidR="00FD1E7B" w:rsidRDefault="00EF1FD0">
      <w:pPr>
        <w:spacing w:beforeLines="50" w:before="156" w:line="120" w:lineRule="auto"/>
        <w:ind w:firstLineChars="100" w:firstLine="395"/>
        <w:jc w:val="center"/>
        <w:rPr>
          <w:rFonts w:ascii="方正小标宋简体" w:eastAsia="方正小标宋简体" w:hAnsi="方正小标宋简体" w:cs="方正小标宋简体"/>
          <w:color w:val="FFFFFF" w:themeColor="background1"/>
          <w:w w:val="90"/>
          <w:sz w:val="44"/>
          <w:szCs w:val="44"/>
        </w:rPr>
      </w:pPr>
      <w:r>
        <w:rPr>
          <w:noProof/>
          <w:color w:val="FFFFFF" w:themeColor="background1"/>
          <w:w w:val="90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DEFE9CB" wp14:editId="37E8E890">
            <wp:simplePos x="0" y="0"/>
            <wp:positionH relativeFrom="column">
              <wp:posOffset>-1199515</wp:posOffset>
            </wp:positionH>
            <wp:positionV relativeFrom="paragraph">
              <wp:posOffset>-937260</wp:posOffset>
            </wp:positionV>
            <wp:extent cx="8028940" cy="11085195"/>
            <wp:effectExtent l="0" t="0" r="10160" b="1905"/>
            <wp:wrapNone/>
            <wp:docPr id="1" name="图片 1" descr="微信图片_2019071012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7101208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8940" cy="1108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B94B3" w14:textId="77777777" w:rsidR="00FD1E7B" w:rsidRDefault="00EF1FD0">
      <w:pPr>
        <w:spacing w:beforeLines="50" w:before="156" w:line="120" w:lineRule="auto"/>
        <w:ind w:firstLineChars="100" w:firstLine="396"/>
        <w:jc w:val="center"/>
        <w:rPr>
          <w:rFonts w:ascii="方正小标宋简体" w:eastAsia="方正小标宋简体" w:hAnsi="方正小标宋简体" w:cs="方正小标宋简体"/>
          <w:color w:val="FFFFFF" w:themeColor="background1"/>
          <w:w w:val="9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FFFFFF" w:themeColor="background1"/>
          <w:w w:val="90"/>
          <w:sz w:val="44"/>
          <w:szCs w:val="44"/>
        </w:rPr>
        <w:t>临夏州盛鑫建筑材料有限责任公司简介</w:t>
      </w:r>
    </w:p>
    <w:p w14:paraId="29B479C9" w14:textId="77777777" w:rsidR="00FD1E7B" w:rsidRDefault="00EF1FD0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临夏州盛鑫建筑材料有限责任公司是临夏</w:t>
      </w:r>
      <w:proofErr w:type="gramStart"/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州盛河城乡</w:t>
      </w:r>
      <w:proofErr w:type="gramEnd"/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投资发展集团有限公司出资设立的全资子公司，成立于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2019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月，注册资本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3000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万元，实收资本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2220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万元。公司下设办公室、财务部、项目管理部等。</w:t>
      </w:r>
    </w:p>
    <w:p w14:paraId="0BB0D6EF" w14:textId="77777777" w:rsidR="00FD1E7B" w:rsidRDefault="00EF1FD0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经营性质：公司性质为法人独资，具有独立的法人资格，依法自主经营，自负盈亏，独立核算，公司以其全部财产承担民事责任。</w:t>
      </w:r>
    </w:p>
    <w:p w14:paraId="1A324A2C" w14:textId="77777777" w:rsidR="00FD1E7B" w:rsidRDefault="00EF1FD0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经营宗旨：遵守国家法律法规，遵守临夏</w:t>
      </w:r>
      <w:proofErr w:type="gramStart"/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州盛河城乡</w:t>
      </w:r>
      <w:proofErr w:type="gramEnd"/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投资发展集团有限公司各种规章制度，以市场需要为主导，以诚实信用为基础，以合法经营为原则，提高企业整体综合经济效益，开创企业发展新局面。</w:t>
      </w:r>
    </w:p>
    <w:p w14:paraId="16542811" w14:textId="77777777" w:rsidR="00FD1E7B" w:rsidRDefault="00EF1FD0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经营理念：建设绿色和谐矿山，助力国家精准扶贫。</w:t>
      </w:r>
    </w:p>
    <w:p w14:paraId="3591E2DA" w14:textId="77777777" w:rsidR="00FD1E7B" w:rsidRDefault="00EF1FD0">
      <w:pPr>
        <w:spacing w:line="600" w:lineRule="exact"/>
        <w:ind w:firstLineChars="200" w:firstLine="640"/>
        <w:jc w:val="left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经营范围：矿产资源开发、投资、开采、加工、销售；建筑材料销售；矿产工程咨询、矿业技术服务、矿山设备租赁。</w:t>
      </w:r>
    </w:p>
    <w:p w14:paraId="38B89465" w14:textId="529AE434" w:rsidR="00FD1E7B" w:rsidRDefault="00EF1FD0">
      <w:pPr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经营项目：公司计划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2021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年底在全州范围内建设完成十座</w:t>
      </w:r>
      <w:r w:rsidR="00B42E78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大中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型砂石料厂，目前已经对其中</w:t>
      </w:r>
      <w:r w:rsidR="00B42E78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三个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砂石料矿区进行了勘察、设计，</w:t>
      </w:r>
      <w:r w:rsidR="00B42E78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预备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前期</w:t>
      </w:r>
      <w:r w:rsidR="00B42E78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筹措及开展施工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，分别为：</w:t>
      </w:r>
    </w:p>
    <w:p w14:paraId="1C21C04F" w14:textId="74414B6F" w:rsidR="00FD1E7B" w:rsidRDefault="00B42E78">
      <w:pPr>
        <w:numPr>
          <w:ilvl w:val="0"/>
          <w:numId w:val="1"/>
        </w:numPr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 w:rsidRPr="00B42E78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临夏州</w:t>
      </w:r>
      <w:r w:rsidR="0070340B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东乡县</w:t>
      </w:r>
      <w:r w:rsidRPr="00B42E78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盛鑫绿色建材生态治理产业园项目</w:t>
      </w:r>
      <w:r w:rsidR="0070340B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；</w:t>
      </w:r>
    </w:p>
    <w:p w14:paraId="55DB5377" w14:textId="444FB2AA" w:rsidR="00FD1E7B" w:rsidRDefault="00B42E78">
      <w:pPr>
        <w:numPr>
          <w:ilvl w:val="0"/>
          <w:numId w:val="1"/>
        </w:numPr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lastRenderedPageBreak/>
        <w:t>积石山县刘集乡建材厂建设项目</w:t>
      </w:r>
      <w:r w:rsidR="00EF1FD0">
        <w:rPr>
          <w:rFonts w:ascii="仿宋_GB2312" w:eastAsia="仿宋_GB2312" w:hAnsi="仿宋_GB2312" w:cs="仿宋_GB2312" w:hint="eastAsia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D2EB1A7" wp14:editId="03624F9A">
            <wp:simplePos x="0" y="0"/>
            <wp:positionH relativeFrom="column">
              <wp:posOffset>-1184910</wp:posOffset>
            </wp:positionH>
            <wp:positionV relativeFrom="paragraph">
              <wp:posOffset>-965200</wp:posOffset>
            </wp:positionV>
            <wp:extent cx="7701280" cy="11078845"/>
            <wp:effectExtent l="0" t="0" r="13970" b="8255"/>
            <wp:wrapNone/>
            <wp:docPr id="2" name="图片 2" descr="感受到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感受到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1107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40B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；</w:t>
      </w:r>
    </w:p>
    <w:p w14:paraId="5A1DE1FB" w14:textId="1B318F23" w:rsidR="00FD1E7B" w:rsidRDefault="00EF1FD0">
      <w:pPr>
        <w:numPr>
          <w:ilvl w:val="0"/>
          <w:numId w:val="1"/>
        </w:numPr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康乐县胭脂镇建材厂建设项目。</w:t>
      </w:r>
    </w:p>
    <w:p w14:paraId="47734DA6" w14:textId="408606F7" w:rsidR="00FD1E7B" w:rsidRDefault="00B42E78" w:rsidP="0070340B">
      <w:pPr>
        <w:ind w:firstLineChars="200" w:firstLine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另由于市场前景需求</w:t>
      </w:r>
      <w:r w:rsidR="0070340B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及项目工程需要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，我公司计划新增进大型环保加气</w:t>
      </w:r>
      <w:proofErr w:type="gramStart"/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块生产</w:t>
      </w:r>
      <w:proofErr w:type="gramEnd"/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项目，将在临夏县地区</w:t>
      </w:r>
      <w:r w:rsidR="0070340B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尽快</w:t>
      </w: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建成一座</w:t>
      </w:r>
      <w:r w:rsidRPr="00B42E78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年产20万立方米加气混凝土砌块生产</w:t>
      </w:r>
      <w:r w:rsidR="0070340B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线若干条，该项目前景及利润可观且平稳</w:t>
      </w:r>
      <w:r w:rsidR="00EF1FD0"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>。</w:t>
      </w:r>
    </w:p>
    <w:p w14:paraId="2D76AFA0" w14:textId="4F59BD44" w:rsidR="00FD1E7B" w:rsidRDefault="00FD1E7B" w:rsidP="00B42E78">
      <w:pP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</w:pPr>
    </w:p>
    <w:p w14:paraId="3D3C4A31" w14:textId="204D44EB" w:rsidR="00FD1E7B" w:rsidRDefault="00FD1E7B" w:rsidP="00B42E78">
      <w:pPr>
        <w:ind w:left="640"/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</w:p>
    <w:p w14:paraId="4CF71510" w14:textId="77777777" w:rsidR="00FD1E7B" w:rsidRDefault="00EF1FD0">
      <w:pPr>
        <w:rPr>
          <w:rFonts w:ascii="仿宋_GB2312" w:eastAsia="仿宋_GB2312" w:hAnsi="仿宋_GB2312" w:cs="仿宋_GB2312"/>
          <w:color w:val="FFFFFF" w:themeColor="background1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FFFF" w:themeColor="background1"/>
          <w:sz w:val="32"/>
          <w:szCs w:val="32"/>
        </w:rPr>
        <w:t xml:space="preserve">    </w:t>
      </w:r>
    </w:p>
    <w:sectPr w:rsidR="00FD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97061" w14:textId="77777777" w:rsidR="00EF1FD0" w:rsidRDefault="00EF1FD0" w:rsidP="00B42E78">
      <w:r>
        <w:separator/>
      </w:r>
    </w:p>
  </w:endnote>
  <w:endnote w:type="continuationSeparator" w:id="0">
    <w:p w14:paraId="0A26DE56" w14:textId="77777777" w:rsidR="00EF1FD0" w:rsidRDefault="00EF1FD0" w:rsidP="00B4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F7B8B" w14:textId="77777777" w:rsidR="00EF1FD0" w:rsidRDefault="00EF1FD0" w:rsidP="00B42E78">
      <w:r>
        <w:separator/>
      </w:r>
    </w:p>
  </w:footnote>
  <w:footnote w:type="continuationSeparator" w:id="0">
    <w:p w14:paraId="123A8403" w14:textId="77777777" w:rsidR="00EF1FD0" w:rsidRDefault="00EF1FD0" w:rsidP="00B42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DC855"/>
    <w:multiLevelType w:val="singleLevel"/>
    <w:tmpl w:val="0C1DC85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2427A3"/>
    <w:rsid w:val="0070340B"/>
    <w:rsid w:val="00B42E78"/>
    <w:rsid w:val="00EF1FD0"/>
    <w:rsid w:val="00FD1E7B"/>
    <w:rsid w:val="045323DF"/>
    <w:rsid w:val="04F60F75"/>
    <w:rsid w:val="0579138D"/>
    <w:rsid w:val="0A0D7DD9"/>
    <w:rsid w:val="0B65451F"/>
    <w:rsid w:val="0C7609B1"/>
    <w:rsid w:val="0D1B177B"/>
    <w:rsid w:val="0E234ECA"/>
    <w:rsid w:val="0FC11D2B"/>
    <w:rsid w:val="0FDB4584"/>
    <w:rsid w:val="109B2E8D"/>
    <w:rsid w:val="16200BBB"/>
    <w:rsid w:val="16BF1F95"/>
    <w:rsid w:val="1D36172E"/>
    <w:rsid w:val="1E857EC7"/>
    <w:rsid w:val="1F630B54"/>
    <w:rsid w:val="1F9B5813"/>
    <w:rsid w:val="20076DC4"/>
    <w:rsid w:val="20EE7709"/>
    <w:rsid w:val="21DF58E9"/>
    <w:rsid w:val="234325E9"/>
    <w:rsid w:val="247C4036"/>
    <w:rsid w:val="27C02B5D"/>
    <w:rsid w:val="2A8C11E8"/>
    <w:rsid w:val="32EC2E93"/>
    <w:rsid w:val="35FF3459"/>
    <w:rsid w:val="387F6399"/>
    <w:rsid w:val="38B82B4B"/>
    <w:rsid w:val="39422B40"/>
    <w:rsid w:val="3A445C7F"/>
    <w:rsid w:val="3B124D8D"/>
    <w:rsid w:val="3CF770B7"/>
    <w:rsid w:val="3D3552ED"/>
    <w:rsid w:val="3F0474DA"/>
    <w:rsid w:val="3FD21CFE"/>
    <w:rsid w:val="412C4BC0"/>
    <w:rsid w:val="45431644"/>
    <w:rsid w:val="45B43100"/>
    <w:rsid w:val="45D52876"/>
    <w:rsid w:val="47112E56"/>
    <w:rsid w:val="48CB7B38"/>
    <w:rsid w:val="4920450B"/>
    <w:rsid w:val="4A614D89"/>
    <w:rsid w:val="4BD677D6"/>
    <w:rsid w:val="4E3379A8"/>
    <w:rsid w:val="4FC30CDB"/>
    <w:rsid w:val="55AB0DC2"/>
    <w:rsid w:val="55AE183B"/>
    <w:rsid w:val="56AC2074"/>
    <w:rsid w:val="57955C60"/>
    <w:rsid w:val="5A7B3E44"/>
    <w:rsid w:val="5B7A3723"/>
    <w:rsid w:val="5C4406D8"/>
    <w:rsid w:val="5DA85DE9"/>
    <w:rsid w:val="5E42211F"/>
    <w:rsid w:val="5F395881"/>
    <w:rsid w:val="5F770519"/>
    <w:rsid w:val="614924EE"/>
    <w:rsid w:val="61E72378"/>
    <w:rsid w:val="66991389"/>
    <w:rsid w:val="68FF4A3F"/>
    <w:rsid w:val="6F9D5BE2"/>
    <w:rsid w:val="72957374"/>
    <w:rsid w:val="731469C0"/>
    <w:rsid w:val="752427A3"/>
    <w:rsid w:val="758E01DD"/>
    <w:rsid w:val="78AB77EE"/>
    <w:rsid w:val="7D1F0E87"/>
    <w:rsid w:val="7D447B98"/>
    <w:rsid w:val="7D7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ACFF0D"/>
  <w15:docId w15:val="{CA05D501-D1CF-49CF-B5DA-0BDBE24B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42E78"/>
    <w:rPr>
      <w:kern w:val="2"/>
      <w:sz w:val="18"/>
      <w:szCs w:val="18"/>
    </w:rPr>
  </w:style>
  <w:style w:type="paragraph" w:styleId="a5">
    <w:name w:val="footer"/>
    <w:basedOn w:val="a"/>
    <w:link w:val="a6"/>
    <w:rsid w:val="00B4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42E7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2019-08-23T07:10:00Z</cp:lastPrinted>
  <dcterms:created xsi:type="dcterms:W3CDTF">2020-07-02T08:45:00Z</dcterms:created>
  <dcterms:modified xsi:type="dcterms:W3CDTF">2020-07-02T08:45:00Z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