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HỢP VĂN BẢN QUY CHẾ ĐÀO TẠO TÍN CHỈ, NỘI QUY HỌC ĐƯỜNG</w:t>
        <w:br/>
        <w:t>VÀ KHUNG XỬ LÝ KỶ LUẬT SINH VIÊN</w:t>
        <w:br/>
        <w:t>TRƯỜNG ĐẠI HỌC KHOA HỌC TỰ NHIÊN - ĐHQG-HCM (NĂM HỌC 2025 - 2026)</w:t>
      </w:r>
    </w:p>
    <w:p>
      <w:pPr>
        <w:jc w:val="center"/>
      </w:pPr>
      <w:r>
        <w:rPr>
          <w:rFonts w:ascii="Times New Roman" w:hAnsi="Times New Roman"/>
          <w:i/>
          <w:color w:val="555555"/>
          <w:sz w:val="22"/>
        </w:rPr>
        <w:t>Hợp nhất Quy chế Đào tạo Tín chỉ (QĐ 1175/QĐ-KHTN), Quy chế Khảo thí, Quy định Kỷ luật Sinh viên (Thông tư 10/2016/TT-BGDĐT) và Quy định Chuẩn đầu ra Ngoại ngữ - Tin học HCMUS</w:t>
      </w:r>
    </w:p>
    <w:p>
      <w:pPr>
        <w:pStyle w:val="Heading1"/>
        <w:spacing w:before="280" w:after="120"/>
      </w:pPr>
      <w:r>
        <w:rPr>
          <w:rFonts w:ascii="Times New Roman" w:hAnsi="Times New Roman"/>
          <w:b/>
          <w:color w:val="003366"/>
          <w:sz w:val="28"/>
        </w:rPr>
        <w:t>PHẦN 1: TRỌNG TÂM QUY CHẾ ĐÀO TẠO ĐẠI HỌC TÍN CHỈ (QUYẾT ĐỊNH SỐ 1175/QĐ-KHTN)</w:t>
      </w:r>
    </w:p>
    <w:p>
      <w:pPr>
        <w:spacing w:after="80" w:line="276" w:lineRule="auto"/>
      </w:pPr>
      <w:r>
        <w:rPr>
          <w:rFonts w:ascii="Times New Roman" w:hAnsi="Times New Roman"/>
          <w:sz w:val="22"/>
        </w:rPr>
        <w:t>Quy chế Đào tạo Tín chỉ là văn bản pháp lý nền tảng điều chỉnh toàn bộ hoạt động dạy, học, đánh giá và công nhận tốt nghiệp của sinh viên hệ đại học chính quy tại Trường ĐHKHTN:</w:t>
      </w:r>
    </w:p>
    <w:p>
      <w:pPr>
        <w:pStyle w:val="Heading2"/>
        <w:spacing w:before="200" w:after="80"/>
      </w:pPr>
      <w:r>
        <w:rPr>
          <w:rFonts w:ascii="Times New Roman" w:hAnsi="Times New Roman"/>
          <w:b/>
          <w:color w:val="1B365D"/>
          <w:sz w:val="24"/>
        </w:rPr>
        <w:t>1.1. Thời gian đào tạo và Thời gian tối đa hoàn thành chương trình (Điều 4)</w:t>
      </w:r>
    </w:p>
    <w:p>
      <w:pPr>
        <w:spacing w:after="80" w:line="276" w:lineRule="auto"/>
      </w:pPr>
      <w:r>
        <w:rPr>
          <w:rFonts w:ascii="Times New Roman" w:hAnsi="Times New Roman"/>
          <w:sz w:val="22"/>
        </w:rPr>
        <w:t>• Thời gian đào tạo theo kế hoạch chuẩn: 04 năm học (tương đương 08 học kỳ chính).</w:t>
      </w:r>
    </w:p>
    <w:p>
      <w:pPr>
        <w:spacing w:after="80" w:line="276" w:lineRule="auto"/>
      </w:pPr>
      <w:r>
        <w:rPr>
          <w:rFonts w:ascii="Times New Roman" w:hAnsi="Times New Roman"/>
          <w:sz w:val="22"/>
        </w:rPr>
        <w:t>• Thời gian tối đa được phép hoàn thành chương trình đào tạo: Bằng 02 lần thời gian thiết kế chuẩn của chương trình, tức tối đa 08 năm học (16 học kỳ chính) đối với hệ cử nhân 4 năm. Các trường hợp sinh viên được điều động thi hành nghĩa vụ quân sự không tính thời gian tại ngũ vào thời gian đào tạo tối đa.</w:t>
      </w:r>
    </w:p>
    <w:p>
      <w:pPr>
        <w:pStyle w:val="Heading2"/>
        <w:spacing w:before="200" w:after="80"/>
      </w:pPr>
      <w:r>
        <w:rPr>
          <w:rFonts w:ascii="Times New Roman" w:hAnsi="Times New Roman"/>
          <w:b/>
          <w:color w:val="1B365D"/>
          <w:sz w:val="24"/>
        </w:rPr>
        <w:t>1.2. Quy định Đăng ký Khối lượng Học tập (Điều 8 &amp; Điều 9)</w:t>
      </w:r>
    </w:p>
    <w:p>
      <w:pPr>
        <w:spacing w:after="80" w:line="276" w:lineRule="auto"/>
      </w:pPr>
      <w:r>
        <w:rPr>
          <w:rFonts w:ascii="Times New Roman" w:hAnsi="Times New Roman"/>
          <w:sz w:val="22"/>
        </w:rPr>
        <w:t>• Số tín chỉ tối thiểu trong một học kỳ chính: Sinh viên xếp loại học lực bình thường phải đăng ký tối thiểu 12 tín chỉ; sinh viên xếp loại học lực yếu phải đăng ký tối thiểu 10 tín chỉ (trừ học kỳ cuối khóa).</w:t>
      </w:r>
    </w:p>
    <w:p>
      <w:pPr>
        <w:spacing w:after="80" w:line="276" w:lineRule="auto"/>
      </w:pPr>
      <w:r>
        <w:rPr>
          <w:rFonts w:ascii="Times New Roman" w:hAnsi="Times New Roman"/>
          <w:sz w:val="22"/>
        </w:rPr>
        <w:t>• Số tín chỉ tối đa trong một học kỳ chính: Tối đa không quá 25 tín chỉ (đối với sinh viên học lực Khá trở lên) và không quá 18 tín chỉ (đối với sinh viên đang bị cảnh báo học vụ).</w:t>
      </w:r>
    </w:p>
    <w:p>
      <w:pPr>
        <w:spacing w:after="80" w:line="276" w:lineRule="auto"/>
      </w:pPr>
      <w:r>
        <w:rPr>
          <w:rFonts w:ascii="Times New Roman" w:hAnsi="Times New Roman"/>
          <w:sz w:val="22"/>
        </w:rPr>
        <w:t>• Học kỳ phụ (Học kỳ hè): Đăng ký tự nguyện, tối đa không quá 10 tín chỉ để học trả nợ môn hoặc học vượt.</w:t>
      </w:r>
    </w:p>
    <w:p>
      <w:pPr>
        <w:spacing w:after="80" w:line="276" w:lineRule="auto"/>
      </w:pPr>
      <w:r>
        <w:rPr>
          <w:rFonts w:ascii="Times New Roman" w:hAnsi="Times New Roman"/>
          <w:sz w:val="22"/>
        </w:rPr>
        <w:t>• Rút học phần (Hủy môn): Được thực hiện trong 02 tuần đầu của học kỳ chính và 01 tuần đầu của học kỳ phụ. Học phần rút hợp lệ không bị ghi điểm F và không tính vào GPA tích lũy.</w:t>
      </w:r>
    </w:p>
    <w:p>
      <w:pPr>
        <w:pStyle w:val="Heading2"/>
        <w:spacing w:before="200" w:after="80"/>
      </w:pPr>
      <w:r>
        <w:rPr>
          <w:rFonts w:ascii="Times New Roman" w:hAnsi="Times New Roman"/>
          <w:b/>
          <w:color w:val="1B365D"/>
          <w:sz w:val="24"/>
        </w:rPr>
        <w:t>1.3. Cảnh báo Học vụ và Buộc thôi học (Điều 15)</w:t>
      </w:r>
    </w:p>
    <w:p>
      <w:pPr>
        <w:spacing w:after="80" w:line="276" w:lineRule="auto"/>
      </w:pPr>
      <w:r>
        <w:rPr>
          <w:rFonts w:ascii="Times New Roman" w:hAnsi="Times New Roman"/>
          <w:sz w:val="22"/>
        </w:rPr>
        <w:t>Cảnh báo học vụ được thông báo bằng văn bản gửi đến sinh viên và phụ huynh sau mỗi học kỳ chính:</w:t>
      </w:r>
    </w:p>
    <w:p>
      <w:pPr>
        <w:spacing w:after="80" w:line="276" w:lineRule="auto"/>
      </w:pPr>
      <w:r>
        <w:rPr>
          <w:rFonts w:ascii="Times New Roman" w:hAnsi="Times New Roman"/>
          <w:sz w:val="22"/>
        </w:rPr>
        <w:t>• Cảnh báo học vụ Mức 1: Sinh viên có GPA học kỳ &lt; 1.00 (đối với học kỳ đầu tiên) hoặc &lt; 1.20 (đối với các học kỳ tiếp theo), hoặc có CPA tích lũy &lt; 1.60 sau 2 học kỳ, &lt; 1.80 sau 4 học kỳ.</w:t>
      </w:r>
    </w:p>
    <w:p>
      <w:pPr>
        <w:spacing w:after="80" w:line="276" w:lineRule="auto"/>
      </w:pPr>
      <w:r>
        <w:rPr>
          <w:rFonts w:ascii="Times New Roman" w:hAnsi="Times New Roman"/>
          <w:sz w:val="22"/>
        </w:rPr>
        <w:t>• Cảnh báo học vụ Mức 2: Sinh viên bị cảnh báo mức 1 ở học kỳ liền trước mà tiếp tục không cải thiện được kết quả học tập.</w:t>
      </w:r>
    </w:p>
    <w:p>
      <w:pPr>
        <w:spacing w:after="80" w:line="276" w:lineRule="auto"/>
      </w:pPr>
      <w:r>
        <w:rPr>
          <w:rFonts w:ascii="Times New Roman" w:hAnsi="Times New Roman"/>
          <w:sz w:val="22"/>
        </w:rPr>
        <w:t>• Buộc thôi học: Áp dụng khi sinh viên: (1) Bị cảnh báo học vụ 03 lần liên tiếp; (2) Có tổng số lần bị cảnh báo học vụ vượt quá 04 lần trong toàn khóa học; (3) Hết thời gian đào tạo tối đa (08 năm); (4) Tự ý bỏ học không đăng ký học phần trong học kỳ chính mà không có lý do chính đáng.</w:t>
      </w:r>
    </w:p>
    <w:p>
      <w:pPr>
        <w:pStyle w:val="Heading1"/>
        <w:spacing w:before="280" w:after="120"/>
      </w:pPr>
      <w:r>
        <w:rPr>
          <w:rFonts w:ascii="Times New Roman" w:hAnsi="Times New Roman"/>
          <w:b/>
          <w:color w:val="003366"/>
          <w:sz w:val="28"/>
        </w:rPr>
        <w:t>PHẦN 2: QUY CHẾ KHẢO THÍ, NỘI QUY PHÒNG THI VÀ XỬ LÝ VI PHẠM THI CỬ</w:t>
      </w:r>
    </w:p>
    <w:p>
      <w:pPr>
        <w:pStyle w:val="Heading2"/>
        <w:spacing w:before="200" w:after="80"/>
      </w:pPr>
      <w:r>
        <w:rPr>
          <w:rFonts w:ascii="Times New Roman" w:hAnsi="Times New Roman"/>
          <w:b/>
          <w:color w:val="1B365D"/>
          <w:sz w:val="24"/>
        </w:rPr>
        <w:t>2.1. Trách nhiệm và Nghĩa vụ của Thí sinh trong Phòng thi</w:t>
      </w:r>
    </w:p>
    <w:p>
      <w:pPr>
        <w:spacing w:after="80" w:line="276" w:lineRule="auto"/>
      </w:pPr>
      <w:r>
        <w:rPr>
          <w:rFonts w:ascii="Times New Roman" w:hAnsi="Times New Roman"/>
          <w:sz w:val="22"/>
        </w:rPr>
        <w:t>• Giấy tờ bắt buộc xuất trình: Thẻ sinh viên (hoặc Căn cước công dân gốc còn hạn sử dụng kèm Giấy xác nhận sinh viên có dán ảnh đóng dấu giáp lai). Thí sinh không có giấy tờ tùy sinh viên không được phép dự thi.</w:t>
      </w:r>
    </w:p>
    <w:p>
      <w:pPr>
        <w:spacing w:after="80" w:line="276" w:lineRule="auto"/>
      </w:pPr>
      <w:r>
        <w:rPr>
          <w:rFonts w:ascii="Times New Roman" w:hAnsi="Times New Roman"/>
          <w:sz w:val="22"/>
        </w:rPr>
        <w:t>• Thời gian có mặt: Thí sinh phải có mặt tại cửa phòng thi trước giờ phát đề ít nhất 15 phút. Thí sinh đến muộn quá 15 phút sau khi đã phát đề thi cuối kỳ không được dự thi và nhận điểm 0 (Không).</w:t>
      </w:r>
    </w:p>
    <w:p>
      <w:pPr>
        <w:spacing w:after="80" w:line="276" w:lineRule="auto"/>
      </w:pPr>
      <w:r>
        <w:rPr>
          <w:rFonts w:ascii="Times New Roman" w:hAnsi="Times New Roman"/>
          <w:sz w:val="22"/>
        </w:rPr>
        <w:t>• Vật dụng được phép mang vào phòng thi: Bút viết, bút chì, compa, thước kẻ, tẩy, máy tính cầm tay không có chức năng soạn thảo văn bản và không có thẻ nhớ (thuộc danh mục Bộ GD&amp;ĐT cho phép).</w:t>
      </w:r>
    </w:p>
    <w:p>
      <w:pPr>
        <w:spacing w:after="80" w:line="276" w:lineRule="auto"/>
      </w:pPr>
      <w:r>
        <w:rPr>
          <w:rFonts w:ascii="Times New Roman" w:hAnsi="Times New Roman"/>
          <w:sz w:val="22"/>
        </w:rPr>
        <w:t>• Vật dụng NGHIÊM CẤM tuyệt đối: Điện thoại di động, đồng hồ thông minh (Smartwatch), máy tính bảng, tai nghe Bluetooth, tài liệu in/chép tay dưới mọi hình thức (trừ khi đề thi ghi rõ 'Được sử dụng tài liệu').</w:t>
      </w:r>
    </w:p>
    <w:p>
      <w:pPr>
        <w:pStyle w:val="Heading2"/>
        <w:spacing w:before="200" w:after="80"/>
      </w:pPr>
      <w:r>
        <w:rPr>
          <w:rFonts w:ascii="Times New Roman" w:hAnsi="Times New Roman"/>
          <w:b/>
          <w:color w:val="1B365D"/>
          <w:sz w:val="24"/>
        </w:rPr>
        <w:t>2.2. Các Mức Xử lý Vi phạm Quy chế Thi</w:t>
      </w:r>
    </w:p>
    <w:p>
      <w:pPr>
        <w:spacing w:after="80" w:line="276" w:lineRule="auto"/>
      </w:pPr>
      <w:r>
        <w:rPr>
          <w:rFonts w:ascii="Times New Roman" w:hAnsi="Times New Roman"/>
          <w:sz w:val="22"/>
        </w:rPr>
        <w:t>• Khiển trách phòng thi: Áp dụng với thí sinh nhìn bài, trao đổi bài lần thứ nhất sau khi đã được nhắc nhở. Bị trừ 25% tổng số điểm của bài thi đó.</w:t>
      </w:r>
    </w:p>
    <w:p>
      <w:pPr>
        <w:spacing w:after="80" w:line="276" w:lineRule="auto"/>
      </w:pPr>
      <w:r>
        <w:rPr>
          <w:rFonts w:ascii="Times New Roman" w:hAnsi="Times New Roman"/>
          <w:sz w:val="22"/>
        </w:rPr>
        <w:t>• Cảnh cáo phòng thi: Áp dụng với thí sinh: (1) Tái phạm nhìn bài, trao đổi bài sau khi đã bị khiển trách; (2) Mang tài liệu trái phép vào phòng thi dù chưa sử dụng; (3) Chép bài của người khác. Thí sinh bị lập biên bản cảnh cáo phòng thi sẽ bị TRỪ 50% tổng số điểm của bài thi.</w:t>
      </w:r>
    </w:p>
    <w:p>
      <w:pPr>
        <w:spacing w:after="80" w:line="276" w:lineRule="auto"/>
      </w:pPr>
      <w:r>
        <w:rPr>
          <w:rFonts w:ascii="Times New Roman" w:hAnsi="Times New Roman"/>
          <w:sz w:val="22"/>
        </w:rPr>
        <w:t>• Đình chỉ thi: Áp dụng đối với thí sinh: (1) Mang theo và sử dụng điện thoại di động, thiết bị thu phát sóng trong phòng thi; (2) Sử dụng tài liệu trái phép làm bài; (3) Đưa đề thi ra ngoài phòng thi hoặc nhận bài giải từ ngoài vào; (4) Có hành vi đe dọa cán bộ coi thi. Thí sinh bị ĐÌNH CHỈ THI nhận ĐIỂM 0 (KHÔNG) môn thi đó và bị trừ Điểm Rèn Luyện (xếp loại Yếu/Kém).</w:t>
      </w:r>
    </w:p>
    <w:p>
      <w:pPr>
        <w:spacing w:after="80" w:line="276" w:lineRule="auto"/>
      </w:pPr>
      <w:r>
        <w:rPr>
          <w:rFonts w:ascii="Times New Roman" w:hAnsi="Times New Roman"/>
          <w:sz w:val="22"/>
        </w:rPr>
        <w:t>• Buộc thôi học do gian lận thi cử: Sinh viên thi hộ hoặc nhờ người khác thi hộ, làm bài hộ Khóa luận tốt nghiệp sẽ bị BUỘC THÔI HỌC NGAY LẬP TỨC theo Thông tư 10/2016/TT-BGDĐT.</w:t>
      </w:r>
    </w:p>
    <w:p>
      <w:pPr>
        <w:pStyle w:val="Heading1"/>
        <w:spacing w:before="280" w:after="120"/>
      </w:pPr>
      <w:r>
        <w:rPr>
          <w:rFonts w:ascii="Times New Roman" w:hAnsi="Times New Roman"/>
          <w:b/>
          <w:color w:val="003366"/>
          <w:sz w:val="28"/>
        </w:rPr>
        <w:t>PHẦN 3: THỦ TỤC VÀ QUY TRÌNH NỘP ĐƠN PHÚC KHẢO BÀI THI KẾT THÚC HỌC PHẦN</w:t>
      </w:r>
    </w:p>
    <w:p>
      <w:pPr>
        <w:spacing w:after="80" w:line="276" w:lineRule="auto"/>
      </w:pPr>
      <w:r>
        <w:rPr>
          <w:rFonts w:ascii="Times New Roman" w:hAnsi="Times New Roman"/>
          <w:sz w:val="22"/>
        </w:rPr>
        <w:t>Mọi sinh viên đều có quyền yêu cầu chấm phúc khảo bài thi kết thúc học phần nếu nhận thấy điểm thi công bố trên hệ thống portal có sự sai lệch so với kết quả làm bài thực tế:</w:t>
      </w:r>
    </w:p>
    <w:p>
      <w:pPr>
        <w:pStyle w:val="Heading2"/>
        <w:spacing w:before="200" w:after="80"/>
      </w:pPr>
      <w:r>
        <w:rPr>
          <w:rFonts w:ascii="Times New Roman" w:hAnsi="Times New Roman"/>
          <w:b/>
          <w:color w:val="1B365D"/>
          <w:sz w:val="24"/>
        </w:rPr>
        <w:t>3.1. Thời hạn và Địa điểm Nộp Đơn Phúc khảo</w:t>
      </w:r>
    </w:p>
    <w:p>
      <w:pPr>
        <w:spacing w:after="80" w:line="276" w:lineRule="auto"/>
      </w:pPr>
      <w:r>
        <w:rPr>
          <w:rFonts w:ascii="Times New Roman" w:hAnsi="Times New Roman"/>
          <w:sz w:val="22"/>
        </w:rPr>
        <w:t>• Thời hiệu nộp đơn: Trong vòng 07 ngày làm việc kể từ ngày Phòng Đào tạo hoặc Bộ môn công bố điểm học phần trên Cổng thông tin học tập (portal.hcmus.edu.vn). Quá thời hạn trên, Nhà trường không thụ lý đơn khiếu nại.</w:t>
      </w:r>
    </w:p>
    <w:p>
      <w:pPr>
        <w:spacing w:after="80" w:line="276" w:lineRule="auto"/>
      </w:pPr>
      <w:r>
        <w:rPr>
          <w:rFonts w:ascii="Times New Roman" w:hAnsi="Times New Roman"/>
          <w:sz w:val="22"/>
        </w:rPr>
        <w:t>• Hình thức nộp: Nộp đơn trực tuyến tại Cổng dịch vụ đào tạo (dichvu.hcmus.edu.vn) hoặc nộp bản giấy tại Bàn tiếp sinh viên Phòng Đào tạo (Tòa nhà B - CS1).</w:t>
      </w:r>
    </w:p>
    <w:p>
      <w:pPr>
        <w:spacing w:after="80" w:line="276" w:lineRule="auto"/>
      </w:pPr>
      <w:r>
        <w:rPr>
          <w:rFonts w:ascii="Times New Roman" w:hAnsi="Times New Roman"/>
          <w:sz w:val="22"/>
        </w:rPr>
        <w:t>• Lệ phí phúc khảo: 20.000 VNĐ / bài thi / học phần. Nếu kết quả phúc khảo có thay đổi điểm số theo hướng có lợi cho sinh viên (tăng điểm), Nhà trường sẽ hoàn trả lại 100% lệ phí phúc khảo.</w:t>
      </w:r>
    </w:p>
    <w:p>
      <w:pPr>
        <w:pStyle w:val="Heading2"/>
        <w:spacing w:before="200" w:after="80"/>
      </w:pPr>
      <w:r>
        <w:rPr>
          <w:rFonts w:ascii="Times New Roman" w:hAnsi="Times New Roman"/>
          <w:b/>
          <w:color w:val="1B365D"/>
          <w:sz w:val="24"/>
        </w:rPr>
        <w:t>3.2. Quy trình Xử lý Phúc khảo và Thay đổi Điểm số</w:t>
      </w:r>
    </w:p>
    <w:p>
      <w:pPr>
        <w:spacing w:after="80" w:line="276" w:lineRule="auto"/>
      </w:pPr>
      <w:r>
        <w:rPr>
          <w:rFonts w:ascii="Times New Roman" w:hAnsi="Times New Roman"/>
          <w:sz w:val="22"/>
        </w:rPr>
        <w:t>• Bước 1: Phòng Đào tạo tiếp nhận đơn, rút bài thi gốc từ kho lưu trữ đề thi.</w:t>
      </w:r>
    </w:p>
    <w:p>
      <w:pPr>
        <w:spacing w:after="80" w:line="276" w:lineRule="auto"/>
      </w:pPr>
      <w:r>
        <w:rPr>
          <w:rFonts w:ascii="Times New Roman" w:hAnsi="Times New Roman"/>
          <w:sz w:val="22"/>
        </w:rPr>
        <w:t>• Bước 2: Trưởng bộ môn chỉ định 02 cán bộ chấm thi độc lập (khác với cán bộ đã chấm bài thi lần đầu) để tiến hành chấm lại toàn bộ bài thi theo đúng đáp án và thang điểm chi tiết đã duyệt.</w:t>
      </w:r>
    </w:p>
    <w:p>
      <w:pPr>
        <w:spacing w:after="80" w:line="276" w:lineRule="auto"/>
      </w:pPr>
      <w:r>
        <w:rPr>
          <w:rFonts w:ascii="Times New Roman" w:hAnsi="Times New Roman"/>
          <w:sz w:val="22"/>
        </w:rPr>
        <w:t>• Bước 3: Đối chiếu điểm phúc khảo:</w:t>
      </w:r>
    </w:p>
    <w:p>
      <w:pPr>
        <w:spacing w:after="80" w:line="276" w:lineRule="auto"/>
      </w:pPr>
      <w:r>
        <w:rPr>
          <w:rFonts w:ascii="Times New Roman" w:hAnsi="Times New Roman"/>
          <w:sz w:val="22"/>
        </w:rPr>
        <w:t xml:space="preserve">  - Nếu điểm chấm lại chênh lệch từ 0.5 điểm trở lên so với điểm ban đầu: Hai cán bộ chấm phúc khảo đối chất cùng cán bộ chấm đầu tiên để thống nhất điểm số cuối cùng.</w:t>
      </w:r>
    </w:p>
    <w:p>
      <w:pPr>
        <w:spacing w:after="80" w:line="276" w:lineRule="auto"/>
      </w:pPr>
      <w:r>
        <w:rPr>
          <w:rFonts w:ascii="Times New Roman" w:hAnsi="Times New Roman"/>
          <w:sz w:val="22"/>
        </w:rPr>
        <w:t xml:space="preserve">  - Nếu có sự sai lệch về cộng điểm cơ học (cộng sót câu, cộng nhầm điểm): Trưởng bộ môn phê duyệt điều chỉnh điểm số thực tế ngay lập tức.</w:t>
      </w:r>
    </w:p>
    <w:p>
      <w:pPr>
        <w:spacing w:after="80" w:line="276" w:lineRule="auto"/>
      </w:pPr>
      <w:r>
        <w:rPr>
          <w:rFonts w:ascii="Times New Roman" w:hAnsi="Times New Roman"/>
          <w:sz w:val="22"/>
        </w:rPr>
        <w:t>• Bước 4: Công bố kết quả phúc khảo trong vòng 15 ngày làm việc kể từ ngày hết hạn nhận đơn.</w:t>
      </w:r>
    </w:p>
    <w:p>
      <w:pPr>
        <w:pStyle w:val="Heading1"/>
        <w:spacing w:before="280" w:after="120"/>
      </w:pPr>
      <w:r>
        <w:rPr>
          <w:rFonts w:ascii="Times New Roman" w:hAnsi="Times New Roman"/>
          <w:b/>
          <w:color w:val="003366"/>
          <w:sz w:val="28"/>
        </w:rPr>
        <w:t>PHẦN 4: BẢNG KHUNG XỬ PHẠT KỶ LUẬT SINH VIÊN (27 HÀNH VI THEO QUY CHẾ BỘ GD&amp;ĐT)</w:t>
      </w:r>
    </w:p>
    <w:p>
      <w:pPr>
        <w:spacing w:after="80" w:line="276" w:lineRule="auto"/>
      </w:pPr>
      <w:r>
        <w:rPr>
          <w:rFonts w:ascii="Times New Roman" w:hAnsi="Times New Roman"/>
          <w:sz w:val="22"/>
        </w:rPr>
        <w:t>Căn cứ Phụ lục Quy chế Công tác Sinh viên (Ban hành kèm Thông tư số 10/2016/TT-BGDĐT và Quyết định số 158/QĐ-KHTN-CTSV), các hình thức kỷ luật đối với sinh viên vi phạm gồm:</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8B0000"/>
          </w:tcPr>
          <w:p>
            <w:r>
              <w:rPr>
                <w:rFonts w:ascii="Times New Roman" w:hAnsi="Times New Roman"/>
                <w:b/>
                <w:color w:val="FFFFFF"/>
              </w:rPr>
              <w:t>Hành vi Vi phạm Kỷ luật</w:t>
            </w:r>
          </w:p>
        </w:tc>
        <w:tc>
          <w:tcPr>
            <w:tcW w:type="dxa" w:w="1872"/>
            <w:shd w:val="clear" w:color="auto" w:fill="8B0000"/>
          </w:tcPr>
          <w:p>
            <w:r>
              <w:rPr>
                <w:rFonts w:ascii="Times New Roman" w:hAnsi="Times New Roman"/>
                <w:b/>
                <w:color w:val="FFFFFF"/>
              </w:rPr>
              <w:t>Xử phạt Lần 1</w:t>
            </w:r>
          </w:p>
        </w:tc>
        <w:tc>
          <w:tcPr>
            <w:tcW w:type="dxa" w:w="1872"/>
            <w:shd w:val="clear" w:color="auto" w:fill="8B0000"/>
          </w:tcPr>
          <w:p>
            <w:r>
              <w:rPr>
                <w:rFonts w:ascii="Times New Roman" w:hAnsi="Times New Roman"/>
                <w:b/>
                <w:color w:val="FFFFFF"/>
              </w:rPr>
              <w:t>Xử phạt Lần 2</w:t>
            </w:r>
          </w:p>
        </w:tc>
        <w:tc>
          <w:tcPr>
            <w:tcW w:type="dxa" w:w="1872"/>
            <w:shd w:val="clear" w:color="auto" w:fill="8B0000"/>
          </w:tcPr>
          <w:p>
            <w:r>
              <w:rPr>
                <w:rFonts w:ascii="Times New Roman" w:hAnsi="Times New Roman"/>
                <w:b/>
                <w:color w:val="FFFFFF"/>
              </w:rPr>
              <w:t>Xử phạt Lần 3</w:t>
            </w:r>
          </w:p>
        </w:tc>
        <w:tc>
          <w:tcPr>
            <w:tcW w:type="dxa" w:w="1872"/>
            <w:shd w:val="clear" w:color="auto" w:fill="8B0000"/>
          </w:tcPr>
          <w:p>
            <w:r>
              <w:rPr>
                <w:rFonts w:ascii="Times New Roman" w:hAnsi="Times New Roman"/>
                <w:b/>
                <w:color w:val="FFFFFF"/>
              </w:rPr>
              <w:t>Xử phạt Lần 4 / Ghi chú</w:t>
            </w:r>
          </w:p>
        </w:tc>
      </w:tr>
      <w:tr>
        <w:tc>
          <w:tcPr>
            <w:tcW w:type="dxa" w:w="1872"/>
            <w:shd w:val="clear" w:color="auto" w:fill="FDF6F6"/>
          </w:tcPr>
          <w:p>
            <w:r>
              <w:rPr>
                <w:rFonts w:ascii="Times New Roman" w:hAnsi="Times New Roman"/>
                <w:sz w:val="18"/>
              </w:rPr>
              <w:t>1. Đi học muộn, trốn học, nghỉ học không phép</w:t>
            </w:r>
          </w:p>
        </w:tc>
        <w:tc>
          <w:tcPr>
            <w:tcW w:type="dxa" w:w="1872"/>
            <w:shd w:val="clear" w:color="auto" w:fill="FFFFFF"/>
          </w:tcPr>
          <w:p>
            <w:r>
              <w:rPr>
                <w:rFonts w:ascii="Times New Roman" w:hAnsi="Times New Roman"/>
                <w:sz w:val="18"/>
              </w:rPr>
              <w:t>Nhắc nhở, phê bình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Trừ ĐRL</w:t>
            </w:r>
          </w:p>
        </w:tc>
      </w:tr>
      <w:tr>
        <w:tc>
          <w:tcPr>
            <w:tcW w:type="dxa" w:w="1872"/>
            <w:shd w:val="clear" w:color="auto" w:fill="FDF6F6"/>
          </w:tcPr>
          <w:p>
            <w:r>
              <w:rPr>
                <w:rFonts w:ascii="Times New Roman" w:hAnsi="Times New Roman"/>
                <w:sz w:val="18"/>
              </w:rPr>
              <w:t>2. Mất trật tự, làm việc riêng trong giờ học/lab</w:t>
            </w:r>
          </w:p>
        </w:tc>
        <w:tc>
          <w:tcPr>
            <w:tcW w:type="dxa" w:w="1872"/>
            <w:shd w:val="clear" w:color="auto" w:fill="FFFFFF"/>
          </w:tcPr>
          <w:p>
            <w:r>
              <w:rPr>
                <w:rFonts w:ascii="Times New Roman" w:hAnsi="Times New Roman"/>
                <w:sz w:val="18"/>
              </w:rPr>
              <w:t>Nhắc nhở, phê bình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Tạm đình chỉ học môn</w:t>
            </w:r>
          </w:p>
        </w:tc>
      </w:tr>
      <w:tr>
        <w:tc>
          <w:tcPr>
            <w:tcW w:type="dxa" w:w="1872"/>
            <w:shd w:val="clear" w:color="auto" w:fill="FDF6F6"/>
          </w:tcPr>
          <w:p>
            <w:r>
              <w:rPr>
                <w:rFonts w:ascii="Times New Roman" w:hAnsi="Times New Roman"/>
                <w:sz w:val="18"/>
              </w:rPr>
              <w:t>3. Đánh bạc, cá độ dưới mọi hình thức</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r>
      <w:tr>
        <w:tc>
          <w:tcPr>
            <w:tcW w:type="dxa" w:w="1872"/>
            <w:shd w:val="clear" w:color="auto" w:fill="FDF6F6"/>
          </w:tcPr>
          <w:p>
            <w:r>
              <w:rPr>
                <w:rFonts w:ascii="Times New Roman" w:hAnsi="Times New Roman"/>
                <w:sz w:val="18"/>
              </w:rPr>
              <w:t>4. Uống rượu, bia, hút thuốc trong khuôn viên trường</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Trừ ĐRL mức Kém</w:t>
            </w:r>
          </w:p>
        </w:tc>
      </w:tr>
      <w:tr>
        <w:tc>
          <w:tcPr>
            <w:tcW w:type="dxa" w:w="1872"/>
            <w:shd w:val="clear" w:color="auto" w:fill="FDF6F6"/>
          </w:tcPr>
          <w:p>
            <w:r>
              <w:rPr>
                <w:rFonts w:ascii="Times New Roman" w:hAnsi="Times New Roman"/>
                <w:sz w:val="18"/>
              </w:rPr>
              <w:t>5. Tàng trữ, lưu hành, sử dụng chất ma túy</w:t>
            </w:r>
          </w:p>
        </w:tc>
        <w:tc>
          <w:tcPr>
            <w:tcW w:type="dxa" w:w="1872"/>
            <w:shd w:val="clear" w:color="auto" w:fill="FFFFFF"/>
          </w:tcPr>
          <w:p>
            <w:r>
              <w:rPr>
                <w:rFonts w:ascii="Times New Roman" w:hAnsi="Times New Roman"/>
                <w:sz w:val="18"/>
              </w:rPr>
              <w:t>Buộc thôi học ngay lần đầu</w:t>
            </w:r>
          </w:p>
        </w:tc>
        <w:tc>
          <w:tcPr>
            <w:tcW w:type="dxa" w:w="1872"/>
            <w:shd w:val="clear" w:color="auto" w:fill="FFFFFF"/>
          </w:tcPr>
          <w:p>
            <w:r>
              <w:rPr>
                <w:rFonts w:ascii="Times New Roman" w:hAnsi="Times New Roman"/>
                <w:sz w:val="18"/>
              </w:rPr>
              <w:t>Giao cơ quan công an xử lý theo pháp luật</w:t>
            </w:r>
          </w:p>
        </w:tc>
        <w:tc>
          <w:tcPr>
            <w:tcW w:type="dxa" w:w="1872"/>
            <w:shd w:val="clear" w:color="auto" w:fill="FFFFFF"/>
          </w:tcPr>
          <w:p>
            <w:r>
              <w:rPr>
                <w:rFonts w:ascii="Times New Roman" w:hAnsi="Times New Roman"/>
                <w:sz w:val="18"/>
              </w:rPr>
              <w:t>-</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6. Tàng trữ vũ khí, chất nổ, chất độc hại trái phép</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điều tra</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7. Đánh nhau, tổ chức đánh nhau gây mất trật tự</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Bồi thường viện phí</w:t>
            </w:r>
          </w:p>
        </w:tc>
      </w:tr>
      <w:tr>
        <w:tc>
          <w:tcPr>
            <w:tcW w:type="dxa" w:w="1872"/>
            <w:shd w:val="clear" w:color="auto" w:fill="FDF6F6"/>
          </w:tcPr>
          <w:p>
            <w:r>
              <w:rPr>
                <w:rFonts w:ascii="Times New Roman" w:hAnsi="Times New Roman"/>
                <w:sz w:val="18"/>
              </w:rPr>
              <w:t>8. Trộm cắp tài sản của trường hoặc của người khác</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Bồi thường tài sản</w:t>
            </w:r>
          </w:p>
        </w:tc>
      </w:tr>
      <w:tr>
        <w:tc>
          <w:tcPr>
            <w:tcW w:type="dxa" w:w="1872"/>
            <w:shd w:val="clear" w:color="auto" w:fill="FDF6F6"/>
          </w:tcPr>
          <w:p>
            <w:r>
              <w:rPr>
                <w:rFonts w:ascii="Times New Roman" w:hAnsi="Times New Roman"/>
                <w:sz w:val="18"/>
              </w:rPr>
              <w:t>9. Tự ý thay đổi, sửa chữa văn bằng, học bạ, chứng chỉ</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Hủy kết quả trúng tuyển</w:t>
            </w:r>
          </w:p>
        </w:tc>
      </w:tr>
      <w:tr>
        <w:tc>
          <w:tcPr>
            <w:tcW w:type="dxa" w:w="1872"/>
            <w:shd w:val="clear" w:color="auto" w:fill="FDF6F6"/>
          </w:tcPr>
          <w:p>
            <w:r>
              <w:rPr>
                <w:rFonts w:ascii="Times New Roman" w:hAnsi="Times New Roman"/>
                <w:sz w:val="18"/>
              </w:rPr>
              <w:t>10. Thi hộ, nhờ người khác thi hộ trong kỳ thi</w:t>
            </w:r>
          </w:p>
        </w:tc>
        <w:tc>
          <w:tcPr>
            <w:tcW w:type="dxa" w:w="1872"/>
            <w:shd w:val="clear" w:color="auto" w:fill="FFFFFF"/>
          </w:tcPr>
          <w:p>
            <w:r>
              <w:rPr>
                <w:rFonts w:ascii="Times New Roman" w:hAnsi="Times New Roman"/>
                <w:sz w:val="18"/>
              </w:rPr>
              <w:t>Đình chỉ 01 năm (lần 1)</w:t>
            </w:r>
          </w:p>
        </w:tc>
        <w:tc>
          <w:tcPr>
            <w:tcW w:type="dxa" w:w="1872"/>
            <w:shd w:val="clear" w:color="auto" w:fill="FFFFFF"/>
          </w:tcPr>
          <w:p>
            <w:r>
              <w:rPr>
                <w:rFonts w:ascii="Times New Roman" w:hAnsi="Times New Roman"/>
                <w:sz w:val="18"/>
              </w:rPr>
              <w:t>Buộc thôi học (lần 2 hoặc người thi thuê chuyên nghiệp)</w:t>
            </w:r>
          </w:p>
        </w:tc>
        <w:tc>
          <w:tcPr>
            <w:tcW w:type="dxa" w:w="1872"/>
            <w:shd w:val="clear" w:color="auto" w:fill="FFFFFF"/>
          </w:tcPr>
          <w:p>
            <w:r>
              <w:rPr>
                <w:rFonts w:ascii="Times New Roman" w:hAnsi="Times New Roman"/>
                <w:sz w:val="18"/>
              </w:rPr>
              <w:t>-</w:t>
            </w:r>
          </w:p>
        </w:tc>
        <w:tc>
          <w:tcPr>
            <w:tcW w:type="dxa" w:w="1872"/>
            <w:shd w:val="clear" w:color="auto" w:fill="FFFFFF"/>
          </w:tcPr>
          <w:p>
            <w:r>
              <w:rPr>
                <w:rFonts w:ascii="Times New Roman" w:hAnsi="Times New Roman"/>
                <w:sz w:val="18"/>
              </w:rPr>
              <w:t>-</w:t>
            </w:r>
          </w:p>
        </w:tc>
      </w:tr>
      <w:tr>
        <w:tc>
          <w:tcPr>
            <w:tcW w:type="dxa" w:w="1872"/>
            <w:shd w:val="clear" w:color="auto" w:fill="FDF6F6"/>
          </w:tcPr>
          <w:p>
            <w:r>
              <w:rPr>
                <w:rFonts w:ascii="Times New Roman" w:hAnsi="Times New Roman"/>
                <w:sz w:val="18"/>
              </w:rPr>
              <w:t>11. Học hộ, điểm danh hộ người khác</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Trừ ĐRL cả hai bên</w:t>
            </w:r>
          </w:p>
        </w:tc>
      </w:tr>
      <w:tr>
        <w:tc>
          <w:tcPr>
            <w:tcW w:type="dxa" w:w="1872"/>
            <w:shd w:val="clear" w:color="auto" w:fill="FDF6F6"/>
          </w:tcPr>
          <w:p>
            <w:r>
              <w:rPr>
                <w:rFonts w:ascii="Times New Roman" w:hAnsi="Times New Roman"/>
                <w:sz w:val="18"/>
              </w:rPr>
              <w:t>12. Sao chép, đạo văn khóa luận, đồ án, tiểu luận</w:t>
            </w:r>
          </w:p>
        </w:tc>
        <w:tc>
          <w:tcPr>
            <w:tcW w:type="dxa" w:w="1872"/>
            <w:shd w:val="clear" w:color="auto" w:fill="FFFFFF"/>
          </w:tcPr>
          <w:p>
            <w:r>
              <w:rPr>
                <w:rFonts w:ascii="Times New Roman" w:hAnsi="Times New Roman"/>
                <w:sz w:val="18"/>
              </w:rPr>
              <w:t>Hủy kết quả điểm 0</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làm khóa luận</w:t>
            </w:r>
          </w:p>
        </w:tc>
      </w:tr>
      <w:tr>
        <w:tc>
          <w:tcPr>
            <w:tcW w:type="dxa" w:w="1872"/>
            <w:shd w:val="clear" w:color="auto" w:fill="FDF6F6"/>
          </w:tcPr>
          <w:p>
            <w:r>
              <w:rPr>
                <w:rFonts w:ascii="Times New Roman" w:hAnsi="Times New Roman"/>
                <w:sz w:val="18"/>
              </w:rPr>
              <w:t>13. Đăng tải thông tin sai sự thật, xúc phạm danh dự trên MXH</w:t>
            </w:r>
          </w:p>
        </w:tc>
        <w:tc>
          <w:tcPr>
            <w:tcW w:type="dxa" w:w="1872"/>
            <w:shd w:val="clear" w:color="auto" w:fill="FFFFFF"/>
          </w:tcPr>
          <w:p>
            <w:r>
              <w:rPr>
                <w:rFonts w:ascii="Times New Roman" w:hAnsi="Times New Roman"/>
                <w:sz w:val="18"/>
              </w:rPr>
              <w:t>Khiển trách</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r>
      <w:tr>
        <w:tc>
          <w:tcPr>
            <w:tcW w:type="dxa" w:w="1872"/>
            <w:shd w:val="clear" w:color="auto" w:fill="FDF6F6"/>
          </w:tcPr>
          <w:p>
            <w:r>
              <w:rPr>
                <w:rFonts w:ascii="Times New Roman" w:hAnsi="Times New Roman"/>
                <w:sz w:val="18"/>
              </w:rPr>
              <w:t>14. Tuyên truyền, kích động chống đối chủ trương đường lối</w:t>
            </w:r>
          </w:p>
        </w:tc>
        <w:tc>
          <w:tcPr>
            <w:tcW w:type="dxa" w:w="1872"/>
            <w:shd w:val="clear" w:color="auto" w:fill="FFFFFF"/>
          </w:tcPr>
          <w:p>
            <w:r>
              <w:rPr>
                <w:rFonts w:ascii="Times New Roman" w:hAnsi="Times New Roman"/>
                <w:sz w:val="18"/>
              </w:rPr>
              <w:t>Cảnh cáo</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an ninh</w:t>
            </w:r>
          </w:p>
        </w:tc>
      </w:tr>
      <w:tr>
        <w:tc>
          <w:tcPr>
            <w:tcW w:type="dxa" w:w="1872"/>
            <w:shd w:val="clear" w:color="auto" w:fill="FDF6F6"/>
          </w:tcPr>
          <w:p>
            <w:r>
              <w:rPr>
                <w:rFonts w:ascii="Times New Roman" w:hAnsi="Times New Roman"/>
                <w:sz w:val="18"/>
              </w:rPr>
              <w:t>15. Mua bán dâm, chứa chấp mại dâm</w:t>
            </w:r>
          </w:p>
        </w:tc>
        <w:tc>
          <w:tcPr>
            <w:tcW w:type="dxa" w:w="1872"/>
            <w:shd w:val="clear" w:color="auto" w:fill="FFFFFF"/>
          </w:tcPr>
          <w:p>
            <w:r>
              <w:rPr>
                <w:rFonts w:ascii="Times New Roman" w:hAnsi="Times New Roman"/>
                <w:sz w:val="18"/>
              </w:rPr>
              <w:t>Đình chỉ 01 năm</w:t>
            </w:r>
          </w:p>
        </w:tc>
        <w:tc>
          <w:tcPr>
            <w:tcW w:type="dxa" w:w="1872"/>
            <w:shd w:val="clear" w:color="auto" w:fill="FFFFFF"/>
          </w:tcPr>
          <w:p>
            <w:r>
              <w:rPr>
                <w:rFonts w:ascii="Times New Roman" w:hAnsi="Times New Roman"/>
                <w:sz w:val="18"/>
              </w:rPr>
              <w:t>Buộc thôi học</w:t>
            </w:r>
          </w:p>
        </w:tc>
        <w:tc>
          <w:tcPr>
            <w:tcW w:type="dxa" w:w="1872"/>
            <w:shd w:val="clear" w:color="auto" w:fill="FFFFFF"/>
          </w:tcPr>
          <w:p>
            <w:r>
              <w:rPr>
                <w:rFonts w:ascii="Times New Roman" w:hAnsi="Times New Roman"/>
                <w:sz w:val="18"/>
              </w:rPr>
              <w:t>Chuyển cơ quan công an</w:t>
            </w:r>
          </w:p>
        </w:tc>
        <w:tc>
          <w:tcPr>
            <w:tcW w:type="dxa" w:w="1872"/>
            <w:shd w:val="clear" w:color="auto" w:fill="FFFFFF"/>
          </w:tcPr>
          <w:p>
            <w:r>
              <w:rPr>
                <w:rFonts w:ascii="Times New Roman" w:hAnsi="Times New Roman"/>
                <w:sz w:val="18"/>
              </w:rPr>
              <w:t>-</w:t>
            </w:r>
          </w:p>
        </w:tc>
      </w:tr>
    </w:tbl>
    <w:p>
      <w:pPr>
        <w:pStyle w:val="Heading1"/>
        <w:spacing w:before="280" w:after="120"/>
      </w:pPr>
      <w:r>
        <w:rPr>
          <w:rFonts w:ascii="Times New Roman" w:hAnsi="Times New Roman"/>
          <w:b/>
          <w:color w:val="003366"/>
          <w:sz w:val="28"/>
        </w:rPr>
        <w:t>PHẦN 5: BẢNG QUY ĐỔI CHUẨN ĐẦU RA NGOẠI NGỮ &amp; KỸ NĂNG CÔNG NGHỆ THÔNG TIN</w:t>
      </w:r>
    </w:p>
    <w:p>
      <w:pPr>
        <w:spacing w:after="80" w:line="276" w:lineRule="auto"/>
      </w:pPr>
      <w:r>
        <w:rPr>
          <w:rFonts w:ascii="Times New Roman" w:hAnsi="Times New Roman"/>
          <w:sz w:val="22"/>
        </w:rPr>
        <w:t>Để được xét công nhận tốt nghiệp và cấp Bằng Cử nhân tại Trường ĐHKHTN, sinh viên bắt buộc hoàn thành các chứng chỉ chuẩn đầu ra theo Quyết định chuẩn đầu ra áp dụng cho từng khóa:</w:t>
      </w:r>
    </w:p>
    <w:p>
      <w:pPr>
        <w:pStyle w:val="Heading2"/>
        <w:spacing w:before="200" w:after="80"/>
      </w:pPr>
      <w:r>
        <w:rPr>
          <w:rFonts w:ascii="Times New Roman" w:hAnsi="Times New Roman"/>
          <w:b/>
          <w:color w:val="1B365D"/>
          <w:sz w:val="24"/>
        </w:rPr>
        <w:t>5.1. Chuẩn Đầu ra Ngoại ngữ (Tiếng Anh)</w:t>
      </w:r>
    </w:p>
    <w:p>
      <w:pPr>
        <w:spacing w:after="80" w:line="276" w:lineRule="auto"/>
      </w:pPr>
      <w:r>
        <w:rPr>
          <w:rFonts w:ascii="Times New Roman" w:hAnsi="Times New Roman"/>
          <w:sz w:val="22"/>
        </w:rPr>
        <w:t>• Chương trình Chuẩn (Đại trà): Đạt Bậc 3/6 theo Khung năng lực Ngoại ngữ 6 bậc dùng cho Việt Nam (Tương đương B1, TOEIC 450-500, IELTS 4.5 - 5.0, TOEFL iBT 45, VSTEP Bậc 3).</w:t>
      </w:r>
    </w:p>
    <w:p>
      <w:pPr>
        <w:spacing w:after="80" w:line="276" w:lineRule="auto"/>
      </w:pPr>
      <w:r>
        <w:rPr>
          <w:rFonts w:ascii="Times New Roman" w:hAnsi="Times New Roman"/>
          <w:sz w:val="22"/>
        </w:rPr>
        <w:t>• Chương trình Chất lượng cao / Đề án / Tiên tiến: Đạt Bậc 4/6 theo Khung năng lực Ngoại ngữ (Tương đương B2, IELTS 5.5 - 6.0, TOEFL iBT 65, TOEIC 4 kỹ năng 650, VSTEP Bậc 4).</w:t>
      </w:r>
    </w:p>
    <w:p>
      <w:pPr>
        <w:spacing w:after="80" w:line="276" w:lineRule="auto"/>
      </w:pPr>
      <w:r>
        <w:rPr>
          <w:rFonts w:ascii="Times New Roman" w:hAnsi="Times New Roman"/>
          <w:sz w:val="22"/>
        </w:rPr>
        <w:t>• Thời hạn hiệu lực chứng chỉ: Chứng chỉ quốc tế (IELTS, TOEFL, TOEIC) có thời hạn hiệu lực 02 năm tính đến thời điểm nộp hồ sơ xét tốt nghiệp. Chứng chỉ VSTEP do các trường thành viên ĐHQG-HCM cấp được công nhận theo quy định hiện hành.</w:t>
      </w:r>
    </w:p>
    <w:p>
      <w:pPr>
        <w:pStyle w:val="Heading2"/>
        <w:spacing w:before="200" w:after="80"/>
      </w:pPr>
      <w:r>
        <w:rPr>
          <w:rFonts w:ascii="Times New Roman" w:hAnsi="Times New Roman"/>
          <w:b/>
          <w:color w:val="1B365D"/>
          <w:sz w:val="24"/>
        </w:rPr>
        <w:t>5.2. Chuẩn Đầu ra Kỹ năng Công nghệ Thông tin (Tin học)</w:t>
      </w:r>
    </w:p>
    <w:p>
      <w:pPr>
        <w:spacing w:after="80" w:line="276" w:lineRule="auto"/>
      </w:pPr>
      <w:r>
        <w:rPr>
          <w:rFonts w:ascii="Times New Roman" w:hAnsi="Times New Roman"/>
          <w:sz w:val="22"/>
        </w:rPr>
        <w:t>• Áp dụng cho sinh viên các ngành không thuộc nhóm ngành CNTT (Toán, Vật lý, Hóa học, Sinh học, Môi trường, Địa chất, KHVL):</w:t>
      </w:r>
    </w:p>
    <w:p>
      <w:pPr>
        <w:spacing w:after="80" w:line="276" w:lineRule="auto"/>
      </w:pPr>
      <w:r>
        <w:rPr>
          <w:rFonts w:ascii="Times New Roman" w:hAnsi="Times New Roman"/>
          <w:sz w:val="22"/>
        </w:rPr>
        <w:t>• Yêu cầu: Đạt Chứng chỉ Ứng dụng CNTT Cơ bản theo Thông tư 03/2014/TT-BTTTT (hoặc chứng chỉ quốc tế MOS, IC3). Sinh viên ngành CNTT được miễn chuẩn tin học cơ bản do chương trình đào tạo chuyên sâu.</w:t>
      </w:r>
    </w:p>
    <w:p>
      <w:pPr>
        <w:pStyle w:val="Heading1"/>
        <w:spacing w:before="280" w:after="120"/>
      </w:pPr>
      <w:r>
        <w:rPr>
          <w:rFonts w:ascii="Times New Roman" w:hAnsi="Times New Roman"/>
          <w:b/>
          <w:color w:val="003366"/>
          <w:sz w:val="28"/>
        </w:rPr>
        <w:t>PHẦN 6: QUYỀN VÀ NGHĨA VỤ PHÁP LÝ CỦA SINH VIÊN TẠI HCMUS</w:t>
      </w:r>
    </w:p>
    <w:p>
      <w:pPr>
        <w:spacing w:after="80" w:line="276" w:lineRule="auto"/>
      </w:pPr>
      <w:r>
        <w:rPr>
          <w:rFonts w:ascii="Times New Roman" w:hAnsi="Times New Roman"/>
          <w:sz w:val="22"/>
        </w:rPr>
        <w:t>1. Quyền của sinh viên:</w:t>
      </w:r>
    </w:p>
    <w:p>
      <w:pPr>
        <w:spacing w:after="80" w:line="276" w:lineRule="auto"/>
      </w:pPr>
      <w:r>
        <w:rPr>
          <w:rFonts w:ascii="Times New Roman" w:hAnsi="Times New Roman"/>
          <w:sz w:val="22"/>
        </w:rPr>
        <w:t>• Được Nhà trường tôn trọng và đối xử bình đẳng; được cung cấp đầy đủ thông tin về kế hoạch học tập, quy chế, học phí, học bổng.</w:t>
      </w:r>
    </w:p>
    <w:p>
      <w:pPr>
        <w:spacing w:after="80" w:line="276" w:lineRule="auto"/>
      </w:pPr>
      <w:r>
        <w:rPr>
          <w:rFonts w:ascii="Times New Roman" w:hAnsi="Times New Roman"/>
          <w:sz w:val="22"/>
        </w:rPr>
        <w:t>• Được sử dụng thư viện, trang thiết bị phòng thí nghiệm, sân bãi thể thao, mạng Wi-Fi trường để học tập và NCKH.</w:t>
      </w:r>
    </w:p>
    <w:p>
      <w:pPr>
        <w:spacing w:after="80" w:line="276" w:lineRule="auto"/>
      </w:pPr>
      <w:r>
        <w:rPr>
          <w:rFonts w:ascii="Times New Roman" w:hAnsi="Times New Roman"/>
          <w:sz w:val="22"/>
        </w:rPr>
        <w:t>• Được quyền khiếu nại về điểm số, các quyết định kỷ luật hoặc các hành vi xâm hại quyền lợi hợp pháp của sinh viên.</w:t>
      </w:r>
    </w:p>
    <w:p>
      <w:pPr>
        <w:spacing w:after="80" w:line="276" w:lineRule="auto"/>
      </w:pPr>
      <w:r>
        <w:rPr>
          <w:rFonts w:ascii="Times New Roman" w:hAnsi="Times New Roman"/>
          <w:sz w:val="22"/>
        </w:rPr>
        <w:t>• Được tham gia các tổ chức Đoàn Thanh niên, Hội Sinh viên, các CLB - Đội - Nhóm và các hoạt động tình nguyện xã hội.</w:t>
      </w:r>
    </w:p>
    <w:p>
      <w:pPr>
        <w:spacing w:after="80" w:line="276" w:lineRule="auto"/>
      </w:pPr>
      <w:r>
        <w:rPr>
          <w:rFonts w:ascii="Times New Roman" w:hAnsi="Times New Roman"/>
          <w:sz w:val="22"/>
        </w:rPr>
        <w:t>2. Nghĩa vụ của sinh viên:</w:t>
      </w:r>
    </w:p>
    <w:p>
      <w:pPr>
        <w:spacing w:after="80" w:line="276" w:lineRule="auto"/>
      </w:pPr>
      <w:r>
        <w:rPr>
          <w:rFonts w:ascii="Times New Roman" w:hAnsi="Times New Roman"/>
          <w:sz w:val="22"/>
        </w:rPr>
        <w:t>• Chấp hành nghiêm chỉnh chủ trương của Đảng, chính sách pháp luật của Nhà nước và Điều lệ trường đại học.</w:t>
      </w:r>
    </w:p>
    <w:p>
      <w:pPr>
        <w:spacing w:after="80" w:line="276" w:lineRule="auto"/>
      </w:pPr>
      <w:r>
        <w:rPr>
          <w:rFonts w:ascii="Times New Roman" w:hAnsi="Times New Roman"/>
          <w:sz w:val="22"/>
        </w:rPr>
        <w:t>• Tôn trọng danh dự, nhân phẩm của giảng viên, cán bộ quản lý và nhân viên nhà trường; giữ gìn đoàn kết nội bộ.</w:t>
      </w:r>
    </w:p>
    <w:p>
      <w:pPr>
        <w:spacing w:after="80" w:line="276" w:lineRule="auto"/>
      </w:pPr>
      <w:r>
        <w:rPr>
          <w:rFonts w:ascii="Times New Roman" w:hAnsi="Times New Roman"/>
          <w:sz w:val="22"/>
        </w:rPr>
        <w:t>• Đóng học phí và bảo hiểm y tế đầy đủ, đúng thời hạn quy định.</w:t>
      </w:r>
    </w:p>
    <w:p>
      <w:pPr>
        <w:spacing w:after="80" w:line="276" w:lineRule="auto"/>
      </w:pPr>
      <w:r>
        <w:rPr>
          <w:rFonts w:ascii="Times New Roman" w:hAnsi="Times New Roman"/>
          <w:sz w:val="22"/>
        </w:rPr>
        <w:t>• Bảo vệ tài sản công, thực hành tiết kiệm điện nước, bảo đảm an toàn phòng cháy chữa cháy và vệ sinh môi trường.</w:t>
      </w:r>
    </w:p>
    <w:p>
      <w:pPr>
        <w:pStyle w:val="Heading1"/>
        <w:spacing w:before="280" w:after="120"/>
      </w:pPr>
      <w:r>
        <w:rPr>
          <w:rFonts w:ascii="Times New Roman" w:hAnsi="Times New Roman"/>
          <w:b/>
          <w:color w:val="003366"/>
          <w:sz w:val="28"/>
        </w:rPr>
        <w:t>PHẦN 7: NGUYÊN TẮC BẢO VỆ DỮ LIỆU CÁ NHÂN &amp; BẢO MẬT THÔNG TIN HỌC THUẬT</w:t>
      </w:r>
    </w:p>
    <w:p>
      <w:pPr>
        <w:spacing w:after="80" w:line="276" w:lineRule="auto"/>
      </w:pPr>
      <w:r>
        <w:rPr>
          <w:rFonts w:ascii="Times New Roman" w:hAnsi="Times New Roman"/>
          <w:sz w:val="22"/>
        </w:rPr>
        <w:t>Trường ĐH Khoa học Tự nhiên ĐHQG-HCM áp dụng nghiêm ngặt các quy định của Nghị định số 13/2023/NĐ-CP của Chính phủ về Bảo vệ Dữ liệu Cá nhân trong toàn bộ hệ thống quản lý đào tạo:</w:t>
      </w:r>
    </w:p>
    <w:p>
      <w:pPr>
        <w:pStyle w:val="Heading2"/>
        <w:spacing w:before="200" w:after="80"/>
      </w:pPr>
      <w:r>
        <w:rPr>
          <w:rFonts w:ascii="Times New Roman" w:hAnsi="Times New Roman"/>
          <w:b/>
          <w:color w:val="1B365D"/>
          <w:sz w:val="24"/>
        </w:rPr>
        <w:t>7.1. Trách nhiệm của Nhà trường đối với Dữ liệu Người học</w:t>
      </w:r>
    </w:p>
    <w:p>
      <w:pPr>
        <w:spacing w:after="80" w:line="276" w:lineRule="auto"/>
      </w:pPr>
      <w:r>
        <w:rPr>
          <w:rFonts w:ascii="Times New Roman" w:hAnsi="Times New Roman"/>
          <w:sz w:val="22"/>
        </w:rPr>
        <w:t>1. Các dữ liệu được bảo vệ: Họ và tên, ngày sinh, số Căn cước công dân, địa chỉ cư trú, số điện thoại, email, tình trạng sức khỏe, hoàn cảnh gia đình, kết quả học tập và rèn luyện của sinh viên.</w:t>
      </w:r>
    </w:p>
    <w:p>
      <w:pPr>
        <w:spacing w:after="80" w:line="276" w:lineRule="auto"/>
      </w:pPr>
      <w:r>
        <w:rPr>
          <w:rFonts w:ascii="Times New Roman" w:hAnsi="Times New Roman"/>
          <w:sz w:val="22"/>
        </w:rPr>
        <w:t>2. Mục đích xử lý dữ liệu: Chỉ phục vụ công tác quản lý đào tạo, cấp văn bằng chứng chỉ, xét học bổng, quản lý ký túc xá và báo cáo cơ quan quản lý nhà nước có thẩm quyền (Bộ GD&amp;ĐT, ĐHQG-HCM).</w:t>
      </w:r>
    </w:p>
    <w:p>
      <w:pPr>
        <w:spacing w:after="80" w:line="276" w:lineRule="auto"/>
      </w:pPr>
      <w:r>
        <w:rPr>
          <w:rFonts w:ascii="Times New Roman" w:hAnsi="Times New Roman"/>
          <w:sz w:val="22"/>
        </w:rPr>
        <w:t>3. Cam kết không thương mại hóa: Nghiêm cấm mọi hành vi chia sẻ, chuyển giao hoặc mua bán dữ liệu sinh viên cho bất kỳ bên thứ ba (trung tâm tiếng Anh, công ty bảo hiểm, môi giới bất động sản) vì mục đích thương mại.</w:t>
      </w:r>
    </w:p>
    <w:p>
      <w:pPr>
        <w:pStyle w:val="Heading2"/>
        <w:spacing w:before="200" w:after="80"/>
      </w:pPr>
      <w:r>
        <w:rPr>
          <w:rFonts w:ascii="Times New Roman" w:hAnsi="Times New Roman"/>
          <w:b/>
          <w:color w:val="1B365D"/>
          <w:sz w:val="24"/>
        </w:rPr>
        <w:t>7.2. Nghĩa vụ Bảo mật Thông tin của Sinh viên</w:t>
      </w:r>
    </w:p>
    <w:p>
      <w:pPr>
        <w:spacing w:after="80" w:line="276" w:lineRule="auto"/>
      </w:pPr>
      <w:r>
        <w:rPr>
          <w:rFonts w:ascii="Times New Roman" w:hAnsi="Times New Roman"/>
          <w:sz w:val="22"/>
        </w:rPr>
        <w:t>• Bảo mật tài khoản cá nhân: Sinh viên có trách nhiệm tự bảo vệ mật khẩu email sinh viên và portal đào tạo; tuyệt đối không cung cấp tài khoản cho người khác đăng ký môn học hộ hoặc xem điểm.</w:t>
      </w:r>
    </w:p>
    <w:p>
      <w:pPr>
        <w:spacing w:after="80" w:line="276" w:lineRule="auto"/>
      </w:pPr>
      <w:r>
        <w:rPr>
          <w:rFonts w:ascii="Times New Roman" w:hAnsi="Times New Roman"/>
          <w:sz w:val="22"/>
        </w:rPr>
        <w:t>• Bảo mật đề thi và tài liệu học tập có bản quyền: Nghiêm cấm chụp ảnh đề thi, phát tán bài giảng hoặc dữ liệu nghiên cứu nội bộ của các phòng thí nghiệm lên các hội nhóm mạng xã hội khi chưa có sự đồng ý bằng văn bản của giảng viên phụ trách.</w:t>
      </w:r>
    </w:p>
    <w:p>
      <w:pPr>
        <w:pStyle w:val="Heading1"/>
        <w:spacing w:before="280" w:after="120"/>
      </w:pPr>
      <w:r>
        <w:rPr>
          <w:rFonts w:ascii="Times New Roman" w:hAnsi="Times New Roman"/>
          <w:b/>
          <w:color w:val="003366"/>
          <w:sz w:val="28"/>
        </w:rPr>
        <w:t>PHẦN 8: QUY ĐỊNH HÌNH THỨC KHEN THƯỞNG VÀ CHẾ ĐỘ TIỀN THƯỞNG SINH VIÊN</w:t>
      </w:r>
    </w:p>
    <w:p>
      <w:pPr>
        <w:spacing w:after="80" w:line="276" w:lineRule="auto"/>
      </w:pPr>
      <w:r>
        <w:rPr>
          <w:rFonts w:ascii="Times New Roman" w:hAnsi="Times New Roman"/>
          <w:sz w:val="22"/>
        </w:rPr>
        <w:t>Nhằm kịp thời tôn vinh những sinh viên có thành tích xuất sắc trong học tập, nghiên cứu khoa học và hoạt động phong trào, Nhà trường ban hành Quy định Khen thưởng thường niên:</w:t>
      </w:r>
    </w:p>
    <w:tbl>
      <w:tblPr>
        <w:tblW w:type="auto" w:w="0"/>
        <w:jc w:val="center"/>
        <w:tblLook w:firstColumn="1" w:firstRow="1" w:lastColumn="0" w:lastRow="0" w:noHBand="0" w:noVBand="1" w:val="04A0"/>
      </w:tblPr>
      <w:tblGrid>
        <w:gridCol w:w="3120"/>
        <w:gridCol w:w="3120"/>
        <w:gridCol w:w="3120"/>
      </w:tblGrid>
      <w:tr>
        <w:tc>
          <w:tcPr>
            <w:tcW w:type="dxa" w:w="3120"/>
            <w:shd w:val="clear" w:color="auto" w:fill="003366"/>
          </w:tcPr>
          <w:p>
            <w:r>
              <w:rPr>
                <w:rFonts w:ascii="Times New Roman" w:hAnsi="Times New Roman"/>
                <w:b/>
                <w:color w:val="FFFFFF"/>
              </w:rPr>
              <w:t>Danh Hiệu / Thành Tích Khen Thưởng</w:t>
            </w:r>
          </w:p>
        </w:tc>
        <w:tc>
          <w:tcPr>
            <w:tcW w:type="dxa" w:w="3120"/>
            <w:shd w:val="clear" w:color="auto" w:fill="003366"/>
          </w:tcPr>
          <w:p>
            <w:r>
              <w:rPr>
                <w:rFonts w:ascii="Times New Roman" w:hAnsi="Times New Roman"/>
                <w:b/>
                <w:color w:val="FFFFFF"/>
              </w:rPr>
              <w:t>Hình Thức &amp; Mức Thưởng Kèm Theo</w:t>
            </w:r>
          </w:p>
        </w:tc>
        <w:tc>
          <w:tcPr>
            <w:tcW w:type="dxa" w:w="3120"/>
            <w:shd w:val="clear" w:color="auto" w:fill="003366"/>
          </w:tcPr>
          <w:p>
            <w:r>
              <w:rPr>
                <w:rFonts w:ascii="Times New Roman" w:hAnsi="Times New Roman"/>
                <w:b/>
                <w:color w:val="FFFFFF"/>
              </w:rPr>
              <w:t>Tiêu Chuẩn Xét Thưởng Bắt Buộc</w:t>
            </w:r>
          </w:p>
        </w:tc>
      </w:tr>
      <w:tr>
        <w:tc>
          <w:tcPr>
            <w:tcW w:type="dxa" w:w="3120"/>
            <w:shd w:val="clear" w:color="auto" w:fill="F4F6F9"/>
          </w:tcPr>
          <w:p>
            <w:r>
              <w:rPr>
                <w:rFonts w:ascii="Times New Roman" w:hAnsi="Times New Roman"/>
                <w:sz w:val="19"/>
              </w:rPr>
              <w:t>Sinh viên Xuất sắc toàn khóa (Thủ khoa tốt nghiệp)</w:t>
            </w:r>
          </w:p>
        </w:tc>
        <w:tc>
          <w:tcPr>
            <w:tcW w:type="dxa" w:w="3120"/>
            <w:shd w:val="clear" w:color="auto" w:fill="FFFFFF"/>
          </w:tcPr>
          <w:p>
            <w:r>
              <w:rPr>
                <w:rFonts w:ascii="Times New Roman" w:hAnsi="Times New Roman"/>
                <w:sz w:val="19"/>
              </w:rPr>
              <w:t>Giấy khen của Hiệu trưởng + Tiền thưởng 5.000.000 VNĐ / sinh viên</w:t>
            </w:r>
          </w:p>
        </w:tc>
        <w:tc>
          <w:tcPr>
            <w:tcW w:type="dxa" w:w="3120"/>
            <w:shd w:val="clear" w:color="auto" w:fill="FFFFFF"/>
          </w:tcPr>
          <w:p>
            <w:r>
              <w:rPr>
                <w:rFonts w:ascii="Times New Roman" w:hAnsi="Times New Roman"/>
                <w:sz w:val="19"/>
              </w:rPr>
              <w:t>Xếp loại học lực Xuất sắc toàn khóa và ĐRL Tốt trở lên, hoàn thành đúng tiến độ 4 năm.</w:t>
            </w:r>
          </w:p>
        </w:tc>
      </w:tr>
      <w:tr>
        <w:tc>
          <w:tcPr>
            <w:tcW w:type="dxa" w:w="3120"/>
            <w:shd w:val="clear" w:color="auto" w:fill="F4F6F9"/>
          </w:tcPr>
          <w:p>
            <w:r>
              <w:rPr>
                <w:rFonts w:ascii="Times New Roman" w:hAnsi="Times New Roman"/>
                <w:sz w:val="19"/>
              </w:rPr>
              <w:t>Sinh viên Giỏi toàn khóa</w:t>
            </w:r>
          </w:p>
        </w:tc>
        <w:tc>
          <w:tcPr>
            <w:tcW w:type="dxa" w:w="3120"/>
            <w:shd w:val="clear" w:color="auto" w:fill="FFFFFF"/>
          </w:tcPr>
          <w:p>
            <w:r>
              <w:rPr>
                <w:rFonts w:ascii="Times New Roman" w:hAnsi="Times New Roman"/>
                <w:sz w:val="19"/>
              </w:rPr>
              <w:t>Giấy khen của Hiệu trưởng + Tiền thưởng 2.000.000 VNĐ / sinh viên</w:t>
            </w:r>
          </w:p>
        </w:tc>
        <w:tc>
          <w:tcPr>
            <w:tcW w:type="dxa" w:w="3120"/>
            <w:shd w:val="clear" w:color="auto" w:fill="FFFFFF"/>
          </w:tcPr>
          <w:p>
            <w:r>
              <w:rPr>
                <w:rFonts w:ascii="Times New Roman" w:hAnsi="Times New Roman"/>
                <w:sz w:val="19"/>
              </w:rPr>
              <w:t>Xếp loại học lực Giỏi toàn khóa và ĐRL Khá trở lên.</w:t>
            </w:r>
          </w:p>
        </w:tc>
      </w:tr>
      <w:tr>
        <w:tc>
          <w:tcPr>
            <w:tcW w:type="dxa" w:w="3120"/>
            <w:shd w:val="clear" w:color="auto" w:fill="F4F6F9"/>
          </w:tcPr>
          <w:p>
            <w:r>
              <w:rPr>
                <w:rFonts w:ascii="Times New Roman" w:hAnsi="Times New Roman"/>
                <w:sz w:val="19"/>
              </w:rPr>
              <w:t>Sinh viên Xuất sắc năm học</w:t>
            </w:r>
          </w:p>
        </w:tc>
        <w:tc>
          <w:tcPr>
            <w:tcW w:type="dxa" w:w="3120"/>
            <w:shd w:val="clear" w:color="auto" w:fill="FFFFFF"/>
          </w:tcPr>
          <w:p>
            <w:r>
              <w:rPr>
                <w:rFonts w:ascii="Times New Roman" w:hAnsi="Times New Roman"/>
                <w:sz w:val="19"/>
              </w:rPr>
              <w:t>Giấy khen của Hiệu trưởng + Tiền thưởng 1.000.000 VNĐ / năm</w:t>
            </w:r>
          </w:p>
        </w:tc>
        <w:tc>
          <w:tcPr>
            <w:tcW w:type="dxa" w:w="3120"/>
            <w:shd w:val="clear" w:color="auto" w:fill="FFFFFF"/>
          </w:tcPr>
          <w:p>
            <w:r>
              <w:rPr>
                <w:rFonts w:ascii="Times New Roman" w:hAnsi="Times New Roman"/>
                <w:sz w:val="19"/>
              </w:rPr>
              <w:t>GPA năm học &gt;= 3.60 và ĐRL &gt;= 90 điểm, không có môn rớt.</w:t>
            </w:r>
          </w:p>
        </w:tc>
      </w:tr>
      <w:tr>
        <w:tc>
          <w:tcPr>
            <w:tcW w:type="dxa" w:w="3120"/>
            <w:shd w:val="clear" w:color="auto" w:fill="F4F6F9"/>
          </w:tcPr>
          <w:p>
            <w:r>
              <w:rPr>
                <w:rFonts w:ascii="Times New Roman" w:hAnsi="Times New Roman"/>
                <w:sz w:val="19"/>
              </w:rPr>
              <w:t>Sinh viên Giỏi năm học</w:t>
            </w:r>
          </w:p>
        </w:tc>
        <w:tc>
          <w:tcPr>
            <w:tcW w:type="dxa" w:w="3120"/>
            <w:shd w:val="clear" w:color="auto" w:fill="FFFFFF"/>
          </w:tcPr>
          <w:p>
            <w:r>
              <w:rPr>
                <w:rFonts w:ascii="Times New Roman" w:hAnsi="Times New Roman"/>
                <w:sz w:val="19"/>
              </w:rPr>
              <w:t>Giấy khen của Hiệu trưởng + Tiền thưởng 500.000 VNĐ / năm</w:t>
            </w:r>
          </w:p>
        </w:tc>
        <w:tc>
          <w:tcPr>
            <w:tcW w:type="dxa" w:w="3120"/>
            <w:shd w:val="clear" w:color="auto" w:fill="FFFFFF"/>
          </w:tcPr>
          <w:p>
            <w:r>
              <w:rPr>
                <w:rFonts w:ascii="Times New Roman" w:hAnsi="Times New Roman"/>
                <w:sz w:val="19"/>
              </w:rPr>
              <w:t>GPA năm học &gt;= 3.20 và ĐRL &gt;= 80 điểm, không có môn rớt.</w:t>
            </w:r>
          </w:p>
        </w:tc>
      </w:tr>
      <w:tr>
        <w:tc>
          <w:tcPr>
            <w:tcW w:type="dxa" w:w="3120"/>
            <w:shd w:val="clear" w:color="auto" w:fill="F4F6F9"/>
          </w:tcPr>
          <w:p>
            <w:r>
              <w:rPr>
                <w:rFonts w:ascii="Times New Roman" w:hAnsi="Times New Roman"/>
                <w:sz w:val="19"/>
              </w:rPr>
              <w:t>Đạt giải Nhất cuộc thi Sinh viên NCKH Euréka</w:t>
            </w:r>
          </w:p>
        </w:tc>
        <w:tc>
          <w:tcPr>
            <w:tcW w:type="dxa" w:w="3120"/>
            <w:shd w:val="clear" w:color="auto" w:fill="FFFFFF"/>
          </w:tcPr>
          <w:p>
            <w:r>
              <w:rPr>
                <w:rFonts w:ascii="Times New Roman" w:hAnsi="Times New Roman"/>
                <w:sz w:val="19"/>
              </w:rPr>
              <w:t>Bằng khen Thành Đoàn + Thưởng 10.000.000 VNĐ / đề tài</w:t>
            </w:r>
          </w:p>
        </w:tc>
        <w:tc>
          <w:tcPr>
            <w:tcW w:type="dxa" w:w="3120"/>
            <w:shd w:val="clear" w:color="auto" w:fill="FFFFFF"/>
          </w:tcPr>
          <w:p>
            <w:r>
              <w:rPr>
                <w:rFonts w:ascii="Times New Roman" w:hAnsi="Times New Roman"/>
                <w:sz w:val="19"/>
              </w:rPr>
              <w:t>Đề tài NCKH xuất sắc cấp thành phố hoặc cấp ĐHQG.</w:t>
            </w:r>
          </w:p>
        </w:tc>
      </w:tr>
      <w:tr>
        <w:tc>
          <w:tcPr>
            <w:tcW w:type="dxa" w:w="3120"/>
            <w:shd w:val="clear" w:color="auto" w:fill="F4F6F9"/>
          </w:tcPr>
          <w:p>
            <w:r>
              <w:rPr>
                <w:rFonts w:ascii="Times New Roman" w:hAnsi="Times New Roman"/>
                <w:sz w:val="19"/>
              </w:rPr>
              <w:t>Đạt giải Olympic Khoa học Sinh viên Toàn quốc</w:t>
            </w:r>
          </w:p>
        </w:tc>
        <w:tc>
          <w:tcPr>
            <w:tcW w:type="dxa" w:w="3120"/>
            <w:shd w:val="clear" w:color="auto" w:fill="FFFFFF"/>
          </w:tcPr>
          <w:p>
            <w:r>
              <w:rPr>
                <w:rFonts w:ascii="Times New Roman" w:hAnsi="Times New Roman"/>
                <w:sz w:val="19"/>
              </w:rPr>
              <w:t>Giấy khen của Hiệu trưởng + Thưởng 3.000.000 VNĐ / giải</w:t>
            </w:r>
          </w:p>
        </w:tc>
        <w:tc>
          <w:tcPr>
            <w:tcW w:type="dxa" w:w="3120"/>
            <w:shd w:val="clear" w:color="auto" w:fill="FFFFFF"/>
          </w:tcPr>
          <w:p>
            <w:r>
              <w:rPr>
                <w:rFonts w:ascii="Times New Roman" w:hAnsi="Times New Roman"/>
                <w:sz w:val="19"/>
              </w:rPr>
              <w:t>Giải Nhất các môn Toán, Vật lý, Hóa học, Tin học, Sinh học.</w:t>
            </w:r>
          </w:p>
        </w:tc>
      </w:tr>
    </w:tbl>
    <w:p>
      <w:pPr>
        <w:pStyle w:val="Heading1"/>
        <w:spacing w:before="280" w:after="120"/>
      </w:pPr>
      <w:r>
        <w:rPr>
          <w:rFonts w:ascii="Times New Roman" w:hAnsi="Times New Roman"/>
          <w:b/>
          <w:color w:val="003366"/>
          <w:sz w:val="28"/>
        </w:rPr>
        <w:t>PHẦN 9: TRÌNH TỰ GIẢI QUYẾT KHIẾU NẠI &amp; BẢO VỆ QUYỀN LỢI CỦA NGƯỜI HỌC</w:t>
      </w:r>
    </w:p>
    <w:p>
      <w:pPr>
        <w:spacing w:after="80" w:line="276" w:lineRule="auto"/>
      </w:pPr>
      <w:r>
        <w:rPr>
          <w:rFonts w:ascii="Times New Roman" w:hAnsi="Times New Roman"/>
          <w:sz w:val="22"/>
        </w:rPr>
        <w:t>Theo Luật Khiếu nại và Quy chế Công tác Sinh viên, người học có quyền khiếu nại các quyết định hành chính, kỷ luật hoặc hành vi của viên chức nhà trường xâm hại đến quyền lợi chính đáng:</w:t>
      </w:r>
    </w:p>
    <w:p>
      <w:pPr>
        <w:pStyle w:val="Heading2"/>
        <w:spacing w:before="200" w:after="80"/>
      </w:pPr>
      <w:r>
        <w:rPr>
          <w:rFonts w:ascii="Times New Roman" w:hAnsi="Times New Roman"/>
          <w:b/>
          <w:color w:val="1B365D"/>
          <w:sz w:val="24"/>
        </w:rPr>
        <w:t>9.1. Trình tự Khiếu nại Lần đầu</w:t>
      </w:r>
    </w:p>
    <w:p>
      <w:pPr>
        <w:spacing w:after="80" w:line="276" w:lineRule="auto"/>
      </w:pPr>
      <w:r>
        <w:rPr>
          <w:rFonts w:ascii="Times New Roman" w:hAnsi="Times New Roman"/>
          <w:sz w:val="22"/>
        </w:rPr>
        <w:t>1. Thời hiệu khiếu nại: Trong thời hạn 30 ngày kể từ ngày nhận được Quyết định kỷ luật hoặc thông báo học vụ.</w:t>
      </w:r>
    </w:p>
    <w:p>
      <w:pPr>
        <w:spacing w:after="80" w:line="276" w:lineRule="auto"/>
      </w:pPr>
      <w:r>
        <w:rPr>
          <w:rFonts w:ascii="Times New Roman" w:hAnsi="Times New Roman"/>
          <w:sz w:val="22"/>
        </w:rPr>
        <w:t>2. Nơi tiếp nhận đơn: Ban Thanh tra Nhân dân hoặc Phòng Công tác Sinh viên Trường ĐHKHTN.</w:t>
      </w:r>
    </w:p>
    <w:p>
      <w:pPr>
        <w:spacing w:after="80" w:line="276" w:lineRule="auto"/>
      </w:pPr>
      <w:r>
        <w:rPr>
          <w:rFonts w:ascii="Times New Roman" w:hAnsi="Times New Roman"/>
          <w:sz w:val="22"/>
        </w:rPr>
        <w:t>3. Thời hạn giải quyết: Không quá 30 ngày làm việc kể từ ngày thụ lý đơn khiếu nại.</w:t>
      </w:r>
    </w:p>
    <w:p>
      <w:pPr>
        <w:spacing w:after="80" w:line="276" w:lineRule="auto"/>
      </w:pPr>
      <w:r>
        <w:rPr>
          <w:rFonts w:ascii="Times New Roman" w:hAnsi="Times New Roman"/>
          <w:sz w:val="22"/>
        </w:rPr>
        <w:t>4. Quyền của người khiếu nại: Được trình bày chứng cứ, đối chất với người bị khiếu nại và nhận văn bản Quyết định giải quyết khiếu nại của Hiệu trưởng.</w:t>
      </w:r>
    </w:p>
    <w:p>
      <w:pPr>
        <w:pStyle w:val="Heading2"/>
        <w:spacing w:before="200" w:after="80"/>
      </w:pPr>
      <w:r>
        <w:rPr>
          <w:rFonts w:ascii="Times New Roman" w:hAnsi="Times New Roman"/>
          <w:b/>
          <w:color w:val="1B365D"/>
          <w:sz w:val="24"/>
        </w:rPr>
        <w:t>9.2. Trình tự Khiếu nại Lần hai</w:t>
      </w:r>
    </w:p>
    <w:p>
      <w:pPr>
        <w:spacing w:after="80" w:line="276" w:lineRule="auto"/>
      </w:pPr>
      <w:r>
        <w:rPr>
          <w:rFonts w:ascii="Times New Roman" w:hAnsi="Times New Roman"/>
          <w:sz w:val="22"/>
        </w:rPr>
        <w:t>Nếu sinh viên không đồng ý với Quyết định giải quyết khiếu nại lần đầu của Hiệu trưởng Trường ĐHKHTN, sinh viên có quyền gửi đơn khiếu nại lần hai lên Giám đốc Đại học Quốc gia TP.HCM hoặc khởi kiện vụ án hành chính tại Tòa án nhân dân theo quy định của pháp luật.</w:t>
      </w:r>
    </w:p>
    <w:p>
      <w:pPr>
        <w:pStyle w:val="Heading1"/>
        <w:spacing w:before="280" w:after="120"/>
      </w:pPr>
      <w:r>
        <w:rPr>
          <w:rFonts w:ascii="Times New Roman" w:hAnsi="Times New Roman"/>
          <w:b/>
          <w:color w:val="003366"/>
          <w:sz w:val="28"/>
        </w:rPr>
        <w:t>PHẦN 10: QUY ĐỊNH TRANG PHỤC, TÁC PHONG &amp; VĂN HÓA ỨNG XỬ HỌC ĐƯỜNG</w:t>
      </w:r>
    </w:p>
    <w:p>
      <w:pPr>
        <w:spacing w:after="80" w:line="276" w:lineRule="auto"/>
      </w:pPr>
      <w:r>
        <w:rPr>
          <w:rFonts w:ascii="Times New Roman" w:hAnsi="Times New Roman"/>
          <w:sz w:val="22"/>
        </w:rPr>
        <w:t>Bộ Quy tắc Văn hóa Ứng xử Trường ĐH Khoa học Tự nhiên ĐHQG-HCM nhằm kiến tạo môi trường học tập văn minh, tôn trọng và thân thiện:</w:t>
      </w:r>
    </w:p>
    <w:p>
      <w:pPr>
        <w:spacing w:after="80" w:line="276" w:lineRule="auto"/>
      </w:pPr>
      <w:r>
        <w:rPr>
          <w:rFonts w:ascii="Times New Roman" w:hAnsi="Times New Roman"/>
          <w:sz w:val="22"/>
        </w:rPr>
        <w:t>• Quy định Trang phục: Sinh viên khi vào khuôn viên trường bắt buộc phải mặc trang phục lịch sự, kín đáo, phù hợp môi trường sư phạm (áo có tay, quần dài hoặc váy dài quá đầu gối). Nghiêm cấm mặc áo sát nách, quần đùi, váy ngắn hoặc trang phục có in hình ảnh, khẩu hiệu phản cảm.</w:t>
      </w:r>
    </w:p>
    <w:p>
      <w:pPr>
        <w:spacing w:after="80" w:line="276" w:lineRule="auto"/>
      </w:pPr>
      <w:r>
        <w:rPr>
          <w:rFonts w:ascii="Times New Roman" w:hAnsi="Times New Roman"/>
          <w:sz w:val="22"/>
        </w:rPr>
        <w:t>• Đeo thẻ sinh viên: Sinh viên phải đeo thẻ sinh viên hoặc xuất trình thẻ khi qua cổng bảo vệ, vào phòng thi, vào thư viện và liên hệ giải quyết công việc tại các phòng ban.</w:t>
      </w:r>
    </w:p>
    <w:p>
      <w:pPr>
        <w:spacing w:after="80" w:line="276" w:lineRule="auto"/>
      </w:pPr>
      <w:r>
        <w:rPr>
          <w:rFonts w:ascii="Times New Roman" w:hAnsi="Times New Roman"/>
          <w:sz w:val="22"/>
        </w:rPr>
        <w:t>• Ứng xử với Giảng viên và Nhân viên: Giữ thái độ kính trọng, xưng hô lễ phép; gõ cửa trước khi vào văn phòng làm việc; chủ động chào hỏi.</w:t>
      </w:r>
    </w:p>
    <w:p>
      <w:pPr>
        <w:spacing w:after="80" w:line="276" w:lineRule="auto"/>
      </w:pPr>
      <w:r>
        <w:rPr>
          <w:rFonts w:ascii="Times New Roman" w:hAnsi="Times New Roman"/>
          <w:sz w:val="22"/>
        </w:rPr>
        <w:t>• Ứng xử trong không gian chung: Giữ gìn trật tự tại hành lang lớp học; không nói to, chửi bậy; không vứt rác bừa bãi; tuân thủ phân loại rác tại nguồn; không viết vẽ bậy lên bàn ghế và tường giảng đường.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