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TỔNG HỢP CẨM NANG PHÁT TRIỂN HỌC LIỆU SỐ, BIÊN SOẠN ĐỀ CƯƠNG CHI TIẾT (SYLLABUS)</w:t>
        <w:br/>
        <w:t>VÀ ĐÁNH GIA HỌC PHẦN THEO CHUẨN KIỂM ĐỊNH AUN-QA &amp; ABET</w:t>
        <w:br/>
        <w:t>TRƯỜNG ĐẠI HỌC KHOA HỌC TỰ NHIÊN - ĐHQG-HCM (NĂM HỌC 2025 - 2026)</w:t>
      </w:r>
    </w:p>
    <w:p>
      <w:pPr>
        <w:jc w:val="center"/>
      </w:pPr>
      <w:r>
        <w:rPr>
          <w:rFonts w:ascii="Times New Roman" w:hAnsi="Times New Roman"/>
          <w:i/>
          <w:color w:val="555555"/>
          <w:sz w:val="22"/>
        </w:rPr>
        <w:t>Tài liệu hướng dẫn chuyên môn sư phạm đại học dành cho Giảng viên, Trợ giảng và Nghiên cứu sinh theo Quy định Đảm bảo Chất lượng ĐHQG-HCM</w:t>
      </w:r>
    </w:p>
    <w:p>
      <w:pPr>
        <w:pStyle w:val="Heading1"/>
        <w:spacing w:before="280" w:after="120"/>
      </w:pPr>
      <w:r>
        <w:rPr>
          <w:rFonts w:ascii="Times New Roman" w:hAnsi="Times New Roman"/>
          <w:b/>
          <w:color w:val="003366"/>
          <w:sz w:val="28"/>
        </w:rPr>
        <w:t>PHẦN 1: HƯỚNG DẪN XÂY DỰNG ĐỀ CƯƠNG CHI TIẾT HỌC PHẦN (SYLLABUS) THEO CHUẨN AUN-QA 4.0</w:t>
      </w:r>
    </w:p>
    <w:p>
      <w:pPr>
        <w:spacing w:after="80" w:line="276" w:lineRule="auto"/>
      </w:pPr>
      <w:r>
        <w:rPr>
          <w:rFonts w:ascii="Times New Roman" w:hAnsi="Times New Roman"/>
          <w:sz w:val="22"/>
        </w:rPr>
        <w:t>Đề cương chi tiết học phần (Course Syllabus) là hợp đồng sư phạm ràng buộc trách nhiệm giữa Giảng viên và Sinh viên, đồng thời là minh chứng kiểm định chất lượng bắt buộc của Mạng lưới các Trường Đại học Đông Nam Á (AUN-QA) và Kiểm định Kỹ thuật Công nghệ (ABET). Cấu trúc một bản Syllabus chuẩn mực tại HCMUS gồm 10 mục bắt buộc:</w:t>
      </w:r>
    </w:p>
    <w:p>
      <w:pPr>
        <w:spacing w:after="80" w:line="276" w:lineRule="auto"/>
      </w:pPr>
      <w:r>
        <w:rPr>
          <w:rFonts w:ascii="Times New Roman" w:hAnsi="Times New Roman"/>
          <w:b/>
          <w:color w:val="003366"/>
          <w:sz w:val="22"/>
        </w:rPr>
        <w:t xml:space="preserve">1. Thông tin học phần: </w:t>
      </w:r>
      <w:r>
        <w:rPr>
          <w:rFonts w:ascii="Times New Roman" w:hAnsi="Times New Roman"/>
          <w:sz w:val="22"/>
        </w:rPr>
        <w:t>Mục 1: Thông tin chung về học phần:</w:t>
      </w:r>
    </w:p>
    <w:p>
      <w:pPr>
        <w:spacing w:after="80" w:line="276" w:lineRule="auto"/>
      </w:pPr>
      <w:r>
        <w:rPr>
          <w:rFonts w:ascii="Times New Roman" w:hAnsi="Times New Roman"/>
          <w:sz w:val="22"/>
        </w:rPr>
        <w:t>• Tên học phần (Tiếng Việt và Tiếng Anh chính xác theo khung chương trình đào tạo).</w:t>
      </w:r>
    </w:p>
    <w:p>
      <w:pPr>
        <w:spacing w:after="80" w:line="276" w:lineRule="auto"/>
      </w:pPr>
      <w:r>
        <w:rPr>
          <w:rFonts w:ascii="Times New Roman" w:hAnsi="Times New Roman"/>
          <w:sz w:val="22"/>
        </w:rPr>
        <w:t>• Mã học phần, số tín chỉ (Phân rã rõ: Số tiết lý thuyết, số tiết thực hành/thực tập, số giờ tự học cá nhân).</w:t>
      </w:r>
    </w:p>
    <w:p>
      <w:pPr>
        <w:spacing w:after="80" w:line="276" w:lineRule="auto"/>
      </w:pPr>
      <w:r>
        <w:rPr>
          <w:rFonts w:ascii="Times New Roman" w:hAnsi="Times New Roman"/>
          <w:sz w:val="22"/>
        </w:rPr>
        <w:t>• Học phần tiên quyết (Prerequisites), Học phần học trước (Pre-courses), Học phần song hành (Co-requisites).</w:t>
      </w:r>
    </w:p>
    <w:p>
      <w:pPr>
        <w:spacing w:after="80" w:line="276" w:lineRule="auto"/>
      </w:pPr>
      <w:r>
        <w:rPr>
          <w:rFonts w:ascii="Times New Roman" w:hAnsi="Times New Roman"/>
          <w:sz w:val="22"/>
        </w:rPr>
        <w:t>• Thông tin Giảng viên phụ trách: Họ tên, học hàm, học vị, email công vụ @hcmus.edu.vn, phòng làm việc và giờ tiếp sinh viên (Office Hours).</w:t>
      </w:r>
    </w:p>
    <w:p>
      <w:pPr>
        <w:spacing w:after="80" w:line="276" w:lineRule="auto"/>
      </w:pPr>
      <w:r>
        <w:rPr>
          <w:rFonts w:ascii="Times New Roman" w:hAnsi="Times New Roman"/>
          <w:b/>
          <w:color w:val="003366"/>
          <w:sz w:val="22"/>
        </w:rPr>
        <w:t xml:space="preserve">2. Mô tả học phần: </w:t>
      </w:r>
      <w:r>
        <w:rPr>
          <w:rFonts w:ascii="Times New Roman" w:hAnsi="Times New Roman"/>
          <w:sz w:val="22"/>
        </w:rPr>
        <w:t>Mục 2: Mô tả vắn tắt học phần (Course Description):</w:t>
      </w:r>
    </w:p>
    <w:p>
      <w:pPr>
        <w:spacing w:after="80" w:line="276" w:lineRule="auto"/>
      </w:pPr>
      <w:r>
        <w:rPr>
          <w:rFonts w:ascii="Times New Roman" w:hAnsi="Times New Roman"/>
          <w:sz w:val="22"/>
        </w:rPr>
        <w:t>Trình bày ngắn gọn từ 100 đến 150 từ về vị trí của môn học trong chương trình đào tạo, nội dung cốt lõi và các kỹ năng sinh viên sẽ tích lũy được sau khi kết thúc môn học.</w:t>
      </w:r>
    </w:p>
    <w:p>
      <w:pPr>
        <w:spacing w:after="80" w:line="276" w:lineRule="auto"/>
      </w:pPr>
      <w:r>
        <w:rPr>
          <w:rFonts w:ascii="Times New Roman" w:hAnsi="Times New Roman"/>
          <w:b/>
          <w:color w:val="003366"/>
          <w:sz w:val="22"/>
        </w:rPr>
        <w:t xml:space="preserve">3. Chuẩn đầu ra môn học (CLO): </w:t>
      </w:r>
      <w:r>
        <w:rPr>
          <w:rFonts w:ascii="Times New Roman" w:hAnsi="Times New Roman"/>
          <w:sz w:val="22"/>
        </w:rPr>
        <w:t>Mục 3: Mục tiêu học phần và Chuẩn đầu ra môn học (Course Learning Outcomes - CLOs):</w:t>
      </w:r>
    </w:p>
    <w:p>
      <w:pPr>
        <w:spacing w:after="80" w:line="276" w:lineRule="auto"/>
      </w:pPr>
      <w:r>
        <w:rPr>
          <w:rFonts w:ascii="Times New Roman" w:hAnsi="Times New Roman"/>
          <w:sz w:val="22"/>
        </w:rPr>
        <w:t>Xác định từ 4 đến 6 CLO cụ thể, bao quát cả 3 miền: Kiến thức chuyên môn (Cognitive), Kỹ năng thực hành (Psychomotor) và Thái độ nghề nghiệp (Affective).</w:t>
      </w:r>
    </w:p>
    <w:p>
      <w:pPr>
        <w:spacing w:after="80" w:line="276" w:lineRule="auto"/>
      </w:pPr>
      <w:r>
        <w:rPr>
          <w:rFonts w:ascii="Times New Roman" w:hAnsi="Times New Roman"/>
          <w:b/>
          <w:color w:val="003366"/>
          <w:sz w:val="22"/>
        </w:rPr>
        <w:t xml:space="preserve">4. Ma trận CLO - PLO: </w:t>
      </w:r>
      <w:r>
        <w:rPr>
          <w:rFonts w:ascii="Times New Roman" w:hAnsi="Times New Roman"/>
          <w:sz w:val="22"/>
        </w:rPr>
        <w:t>Mục 4: Ma trận Ánh xạ CLO vào Chuẩn đầu ra chương trình (CLO - PLO Mapping Matrix):</w:t>
      </w:r>
    </w:p>
    <w:p>
      <w:pPr>
        <w:spacing w:after="80" w:line="276" w:lineRule="auto"/>
      </w:pPr>
      <w:r>
        <w:rPr>
          <w:rFonts w:ascii="Times New Roman" w:hAnsi="Times New Roman"/>
          <w:sz w:val="22"/>
        </w:rPr>
        <w:t>Xác định mức độ đóng góp của từng CLO đối với từng PLO của ngành theo 3 cấp độ: I (Introduce - Giới thiệu), R (Reinforce - Củng cố), M (Master - Nhuần nhuyễn) hoặc A (Assess - Đánh giá chuyên sâu).</w:t>
      </w:r>
    </w:p>
    <w:p>
      <w:pPr>
        <w:spacing w:after="80" w:line="276" w:lineRule="auto"/>
      </w:pPr>
      <w:r>
        <w:rPr>
          <w:rFonts w:ascii="Times New Roman" w:hAnsi="Times New Roman"/>
          <w:b/>
          <w:color w:val="003366"/>
          <w:sz w:val="22"/>
        </w:rPr>
        <w:t xml:space="preserve">5. Kế hoạch giảng dạy: </w:t>
      </w:r>
      <w:r>
        <w:rPr>
          <w:rFonts w:ascii="Times New Roman" w:hAnsi="Times New Roman"/>
          <w:sz w:val="22"/>
        </w:rPr>
        <w:t>Mục 5: Kế hoạch giảng dạy chi tiết theo tuần (15 tuần):</w:t>
      </w:r>
    </w:p>
    <w:p>
      <w:pPr>
        <w:spacing w:after="80" w:line="276" w:lineRule="auto"/>
      </w:pPr>
      <w:r>
        <w:rPr>
          <w:rFonts w:ascii="Times New Roman" w:hAnsi="Times New Roman"/>
          <w:sz w:val="22"/>
        </w:rPr>
        <w:t>Phân bổ chi tiết 15 tuần học chính khóa: Nội dung bài giảng từng tuần, hoạt động dạy của thầy, hoạt động học của trò, tài liệu đọc trước ở nhà, và chuẩn đầu ra CLO tương ứng.</w:t>
      </w:r>
    </w:p>
    <w:p>
      <w:pPr>
        <w:spacing w:after="80" w:line="276" w:lineRule="auto"/>
      </w:pPr>
      <w:r>
        <w:rPr>
          <w:rFonts w:ascii="Times New Roman" w:hAnsi="Times New Roman"/>
          <w:b/>
          <w:color w:val="003366"/>
          <w:sz w:val="22"/>
        </w:rPr>
        <w:t xml:space="preserve">6. Đánh giá học phần: </w:t>
      </w:r>
      <w:r>
        <w:rPr>
          <w:rFonts w:ascii="Times New Roman" w:hAnsi="Times New Roman"/>
          <w:sz w:val="22"/>
        </w:rPr>
        <w:t>Mục 6: Phương pháp và Hình thức Đánh giá Học phần (Course Assessment):</w:t>
      </w:r>
    </w:p>
    <w:p>
      <w:pPr>
        <w:spacing w:after="80" w:line="276" w:lineRule="auto"/>
      </w:pPr>
      <w:r>
        <w:rPr>
          <w:rFonts w:ascii="Times New Roman" w:hAnsi="Times New Roman"/>
          <w:sz w:val="22"/>
        </w:rPr>
        <w:t>Quy định rõ ràng tỷ lệ phần trăm giữa Đánh giá quá trình (Formative Assessment: Điểm chuyên cần 10%, Bài tập tuần/Lab 20%, Thi giữa kỳ 20%) và Đánh giá tổng kết (Summative Assessment: Thi cuối kỳ hoặc Đồ án tốt nghiệp môn học 50%).</w:t>
      </w:r>
    </w:p>
    <w:p>
      <w:pPr>
        <w:spacing w:after="80" w:line="276" w:lineRule="auto"/>
      </w:pPr>
      <w:r>
        <w:rPr>
          <w:rFonts w:ascii="Times New Roman" w:hAnsi="Times New Roman"/>
          <w:b/>
          <w:color w:val="003366"/>
          <w:sz w:val="22"/>
        </w:rPr>
        <w:t xml:space="preserve">7. Tài liệu học tập: </w:t>
      </w:r>
      <w:r>
        <w:rPr>
          <w:rFonts w:ascii="Times New Roman" w:hAnsi="Times New Roman"/>
          <w:sz w:val="22"/>
        </w:rPr>
        <w:t>Mục 7: Tài liệu học tập, Giáo trình bắt buộc và Tài liệu tham khảo:</w:t>
      </w:r>
    </w:p>
    <w:p>
      <w:pPr>
        <w:spacing w:after="80" w:line="276" w:lineRule="auto"/>
      </w:pPr>
      <w:r>
        <w:rPr>
          <w:rFonts w:ascii="Times New Roman" w:hAnsi="Times New Roman"/>
          <w:sz w:val="22"/>
        </w:rPr>
        <w:t>Ghi rõ Giáo trình chính (Textbook) xuất bản trong vòng 5 năm gần nhất, kèm mã DDC tra cứu tại Thư viện HCMUS; các bài báo khoa học quốc tế tham khảo mở rộng.</w:t>
      </w:r>
    </w:p>
    <w:p>
      <w:pPr>
        <w:pStyle w:val="Heading1"/>
        <w:spacing w:before="280" w:after="120"/>
      </w:pPr>
      <w:r>
        <w:rPr>
          <w:rFonts w:ascii="Times New Roman" w:hAnsi="Times New Roman"/>
          <w:b/>
          <w:color w:val="003366"/>
          <w:sz w:val="28"/>
        </w:rPr>
        <w:t>PHẦN 2: CẨM NANG THANG ĐO BLOOM &amp; THIẾT KẾ ĐỘNG TỪ HÀNH ĐỘNG CHO CHUẨN ĐẦU RA (CLO)</w:t>
      </w:r>
    </w:p>
    <w:p>
      <w:pPr>
        <w:spacing w:after="80" w:line="276" w:lineRule="auto"/>
      </w:pPr>
      <w:r>
        <w:rPr>
          <w:rFonts w:ascii="Times New Roman" w:hAnsi="Times New Roman"/>
          <w:sz w:val="22"/>
        </w:rPr>
        <w:t>Thang đo tư duy Bloom sửa đổi (Lorin Anderson &amp; David Krathwohl, 2001) là công cụ nền tảng để viết chuẩn đầu ra CLO và xây dựng ngân hàng câu hỏi đề thi một cách khoa học:</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366"/>
          </w:tcPr>
          <w:p>
            <w:r>
              <w:rPr>
                <w:rFonts w:ascii="Times New Roman" w:hAnsi="Times New Roman"/>
                <w:b/>
                <w:color w:val="FFFFFF"/>
              </w:rPr>
              <w:t>Cấp Độ Tư Duy Bloom</w:t>
            </w:r>
          </w:p>
        </w:tc>
        <w:tc>
          <w:tcPr>
            <w:tcW w:type="dxa" w:w="2340"/>
            <w:shd w:val="clear" w:color="auto" w:fill="003366"/>
          </w:tcPr>
          <w:p>
            <w:r>
              <w:rPr>
                <w:rFonts w:ascii="Times New Roman" w:hAnsi="Times New Roman"/>
                <w:b/>
                <w:color w:val="FFFFFF"/>
              </w:rPr>
              <w:t>Đặc Tả Bản Chất Năng Lực</w:t>
            </w:r>
          </w:p>
        </w:tc>
        <w:tc>
          <w:tcPr>
            <w:tcW w:type="dxa" w:w="2340"/>
            <w:shd w:val="clear" w:color="auto" w:fill="003366"/>
          </w:tcPr>
          <w:p>
            <w:r>
              <w:rPr>
                <w:rFonts w:ascii="Times New Roman" w:hAnsi="Times New Roman"/>
                <w:b/>
                <w:color w:val="FFFFFF"/>
              </w:rPr>
              <w:t>Động Từ Hành Động (Action Verbs)</w:t>
            </w:r>
          </w:p>
        </w:tc>
        <w:tc>
          <w:tcPr>
            <w:tcW w:type="dxa" w:w="2340"/>
            <w:shd w:val="clear" w:color="auto" w:fill="003366"/>
          </w:tcPr>
          <w:p>
            <w:r>
              <w:rPr>
                <w:rFonts w:ascii="Times New Roman" w:hAnsi="Times New Roman"/>
                <w:b/>
                <w:color w:val="FFFFFF"/>
              </w:rPr>
              <w:t>Hình Thức Đánh Giá / Câu Hỏi Mẫu</w:t>
            </w:r>
          </w:p>
        </w:tc>
      </w:tr>
      <w:tr>
        <w:tc>
          <w:tcPr>
            <w:tcW w:type="dxa" w:w="2340"/>
            <w:shd w:val="clear" w:color="auto" w:fill="F4F6F9"/>
          </w:tcPr>
          <w:p>
            <w:r>
              <w:rPr>
                <w:rFonts w:ascii="Times New Roman" w:hAnsi="Times New Roman"/>
                <w:sz w:val="18"/>
              </w:rPr>
              <w:t>Cấp 1: NHỚ (Remembering)</w:t>
            </w:r>
          </w:p>
        </w:tc>
        <w:tc>
          <w:tcPr>
            <w:tcW w:type="dxa" w:w="2340"/>
            <w:shd w:val="clear" w:color="auto" w:fill="FFFFFF"/>
          </w:tcPr>
          <w:p>
            <w:r>
              <w:rPr>
                <w:rFonts w:ascii="Times New Roman" w:hAnsi="Times New Roman"/>
                <w:sz w:val="18"/>
              </w:rPr>
              <w:t>Nhắc lại, nhận biết các định nghĩa, sự kiện, công thức đã học.</w:t>
            </w:r>
          </w:p>
        </w:tc>
        <w:tc>
          <w:tcPr>
            <w:tcW w:type="dxa" w:w="2340"/>
            <w:shd w:val="clear" w:color="auto" w:fill="FFFFFF"/>
          </w:tcPr>
          <w:p>
            <w:r>
              <w:rPr>
                <w:rFonts w:ascii="Times New Roman" w:hAnsi="Times New Roman"/>
                <w:sz w:val="18"/>
              </w:rPr>
              <w:t>Định nghĩa, Liệt kê, Gọi tên, Nhận dạng, Nhắc lại, Ghi nhớ, Trình bày lại.</w:t>
            </w:r>
          </w:p>
        </w:tc>
        <w:tc>
          <w:tcPr>
            <w:tcW w:type="dxa" w:w="2340"/>
            <w:shd w:val="clear" w:color="auto" w:fill="FFFFFF"/>
          </w:tcPr>
          <w:p>
            <w:r>
              <w:rPr>
                <w:rFonts w:ascii="Times New Roman" w:hAnsi="Times New Roman"/>
                <w:sz w:val="18"/>
              </w:rPr>
              <w:t>Trắc nghiệm nhận biết, điền vào chỗ trống, câu hỏi định nghĩa ngắn.</w:t>
            </w:r>
          </w:p>
        </w:tc>
      </w:tr>
      <w:tr>
        <w:tc>
          <w:tcPr>
            <w:tcW w:type="dxa" w:w="2340"/>
            <w:shd w:val="clear" w:color="auto" w:fill="F4F6F9"/>
          </w:tcPr>
          <w:p>
            <w:r>
              <w:rPr>
                <w:rFonts w:ascii="Times New Roman" w:hAnsi="Times New Roman"/>
                <w:sz w:val="18"/>
              </w:rPr>
              <w:t>Cấp 2: HIỂU (Understanding)</w:t>
            </w:r>
          </w:p>
        </w:tc>
        <w:tc>
          <w:tcPr>
            <w:tcW w:type="dxa" w:w="2340"/>
            <w:shd w:val="clear" w:color="auto" w:fill="FFFFFF"/>
          </w:tcPr>
          <w:p>
            <w:r>
              <w:rPr>
                <w:rFonts w:ascii="Times New Roman" w:hAnsi="Times New Roman"/>
                <w:sz w:val="18"/>
              </w:rPr>
              <w:t>Giải thích ý nghĩa, tóm tắt, diễn giải thông tin theo cách riêng.</w:t>
            </w:r>
          </w:p>
        </w:tc>
        <w:tc>
          <w:tcPr>
            <w:tcW w:type="dxa" w:w="2340"/>
            <w:shd w:val="clear" w:color="auto" w:fill="FFFFFF"/>
          </w:tcPr>
          <w:p>
            <w:r>
              <w:rPr>
                <w:rFonts w:ascii="Times New Roman" w:hAnsi="Times New Roman"/>
                <w:sz w:val="18"/>
              </w:rPr>
              <w:t>Giải thích, Tóm tắt, Phân loại, So sánh, Minh họa, Suy luận, Chuyển đổi.</w:t>
            </w:r>
          </w:p>
        </w:tc>
        <w:tc>
          <w:tcPr>
            <w:tcW w:type="dxa" w:w="2340"/>
            <w:shd w:val="clear" w:color="auto" w:fill="FFFFFF"/>
          </w:tcPr>
          <w:p>
            <w:r>
              <w:rPr>
                <w:rFonts w:ascii="Times New Roman" w:hAnsi="Times New Roman"/>
                <w:sz w:val="18"/>
              </w:rPr>
              <w:t>Câu hỏi tự luận ngắn, giải thích cơ chế, so sánh hai thuật toán.</w:t>
            </w:r>
          </w:p>
        </w:tc>
      </w:tr>
      <w:tr>
        <w:tc>
          <w:tcPr>
            <w:tcW w:type="dxa" w:w="2340"/>
            <w:shd w:val="clear" w:color="auto" w:fill="F4F6F9"/>
          </w:tcPr>
          <w:p>
            <w:r>
              <w:rPr>
                <w:rFonts w:ascii="Times New Roman" w:hAnsi="Times New Roman"/>
                <w:sz w:val="18"/>
              </w:rPr>
              <w:t>Cấp 3: VẬN DỤNG (Applying)</w:t>
            </w:r>
          </w:p>
        </w:tc>
        <w:tc>
          <w:tcPr>
            <w:tcW w:type="dxa" w:w="2340"/>
            <w:shd w:val="clear" w:color="auto" w:fill="FFFFFF"/>
          </w:tcPr>
          <w:p>
            <w:r>
              <w:rPr>
                <w:rFonts w:ascii="Times New Roman" w:hAnsi="Times New Roman"/>
                <w:sz w:val="18"/>
              </w:rPr>
              <w:t>Áp dụng kiến thức, quy tắc, công thức vào tình huống mới.</w:t>
            </w:r>
          </w:p>
        </w:tc>
        <w:tc>
          <w:tcPr>
            <w:tcW w:type="dxa" w:w="2340"/>
            <w:shd w:val="clear" w:color="auto" w:fill="FFFFFF"/>
          </w:tcPr>
          <w:p>
            <w:r>
              <w:rPr>
                <w:rFonts w:ascii="Times New Roman" w:hAnsi="Times New Roman"/>
                <w:sz w:val="18"/>
              </w:rPr>
              <w:t>Tính toán, Thực hiện, Giải quyết, Lập trình, Triển khai, Vận hành, Sử dụng.</w:t>
            </w:r>
          </w:p>
        </w:tc>
        <w:tc>
          <w:tcPr>
            <w:tcW w:type="dxa" w:w="2340"/>
            <w:shd w:val="clear" w:color="auto" w:fill="FFFFFF"/>
          </w:tcPr>
          <w:p>
            <w:r>
              <w:rPr>
                <w:rFonts w:ascii="Times New Roman" w:hAnsi="Times New Roman"/>
                <w:sz w:val="18"/>
              </w:rPr>
              <w:t>Bài tập tính toán, viết đoạn mã giải thuật, bài thực hành phòng lab.</w:t>
            </w:r>
          </w:p>
        </w:tc>
      </w:tr>
      <w:tr>
        <w:tc>
          <w:tcPr>
            <w:tcW w:type="dxa" w:w="2340"/>
            <w:shd w:val="clear" w:color="auto" w:fill="F4F6F9"/>
          </w:tcPr>
          <w:p>
            <w:r>
              <w:rPr>
                <w:rFonts w:ascii="Times New Roman" w:hAnsi="Times New Roman"/>
                <w:sz w:val="18"/>
              </w:rPr>
              <w:t>Cấp 4: PHÂN TÍCH (Analyzing)</w:t>
            </w:r>
          </w:p>
        </w:tc>
        <w:tc>
          <w:tcPr>
            <w:tcW w:type="dxa" w:w="2340"/>
            <w:shd w:val="clear" w:color="auto" w:fill="FFFFFF"/>
          </w:tcPr>
          <w:p>
            <w:r>
              <w:rPr>
                <w:rFonts w:ascii="Times New Roman" w:hAnsi="Times New Roman"/>
                <w:sz w:val="18"/>
              </w:rPr>
              <w:t>Chia nhỏ vấn đề thành các phần tử, phân tích mối quan hệ logic.</w:t>
            </w:r>
          </w:p>
        </w:tc>
        <w:tc>
          <w:tcPr>
            <w:tcW w:type="dxa" w:w="2340"/>
            <w:shd w:val="clear" w:color="auto" w:fill="FFFFFF"/>
          </w:tcPr>
          <w:p>
            <w:r>
              <w:rPr>
                <w:rFonts w:ascii="Times New Roman" w:hAnsi="Times New Roman"/>
                <w:sz w:val="18"/>
              </w:rPr>
              <w:t>Phân tích, Đối chiếu, Phân biệt, Khảo sát, Bóc tách, Tối ưu hóa, Debug lỗi.</w:t>
            </w:r>
          </w:p>
        </w:tc>
        <w:tc>
          <w:tcPr>
            <w:tcW w:type="dxa" w:w="2340"/>
            <w:shd w:val="clear" w:color="auto" w:fill="FFFFFF"/>
          </w:tcPr>
          <w:p>
            <w:r>
              <w:rPr>
                <w:rFonts w:ascii="Times New Roman" w:hAnsi="Times New Roman"/>
                <w:sz w:val="18"/>
              </w:rPr>
              <w:t>Phân tích độ phức tạp thuật toán, tìm lỗi sai trong đoạn mã, phân tích phổ hóa học.</w:t>
            </w:r>
          </w:p>
        </w:tc>
      </w:tr>
      <w:tr>
        <w:tc>
          <w:tcPr>
            <w:tcW w:type="dxa" w:w="2340"/>
            <w:shd w:val="clear" w:color="auto" w:fill="F4F6F9"/>
          </w:tcPr>
          <w:p>
            <w:r>
              <w:rPr>
                <w:rFonts w:ascii="Times New Roman" w:hAnsi="Times New Roman"/>
                <w:sz w:val="18"/>
              </w:rPr>
              <w:t>Cấp 5: ĐÁNH GIÁ (Evaluating)</w:t>
            </w:r>
          </w:p>
        </w:tc>
        <w:tc>
          <w:tcPr>
            <w:tcW w:type="dxa" w:w="2340"/>
            <w:shd w:val="clear" w:color="auto" w:fill="FFFFFF"/>
          </w:tcPr>
          <w:p>
            <w:r>
              <w:rPr>
                <w:rFonts w:ascii="Times New Roman" w:hAnsi="Times New Roman"/>
                <w:sz w:val="18"/>
              </w:rPr>
              <w:t>Đưa ra nhận định, đánh giá giá trị giải pháp dựa trên tiêu chí.</w:t>
            </w:r>
          </w:p>
        </w:tc>
        <w:tc>
          <w:tcPr>
            <w:tcW w:type="dxa" w:w="2340"/>
            <w:shd w:val="clear" w:color="auto" w:fill="FFFFFF"/>
          </w:tcPr>
          <w:p>
            <w:r>
              <w:rPr>
                <w:rFonts w:ascii="Times New Roman" w:hAnsi="Times New Roman"/>
                <w:sz w:val="18"/>
              </w:rPr>
              <w:t>Đánh giá, Phản biện, Lựa chọn, Thẩm định, Kiểm thử, Biện luận, Xếp hạng.</w:t>
            </w:r>
          </w:p>
        </w:tc>
        <w:tc>
          <w:tcPr>
            <w:tcW w:type="dxa" w:w="2340"/>
            <w:shd w:val="clear" w:color="auto" w:fill="FFFFFF"/>
          </w:tcPr>
          <w:p>
            <w:r>
              <w:rPr>
                <w:rFonts w:ascii="Times New Roman" w:hAnsi="Times New Roman"/>
                <w:sz w:val="18"/>
              </w:rPr>
              <w:t>Đánh giá hiệu năng hệ thống, phản biện đề án nghiên cứu, kiểm thử phần mềm.</w:t>
            </w:r>
          </w:p>
        </w:tc>
      </w:tr>
      <w:tr>
        <w:tc>
          <w:tcPr>
            <w:tcW w:type="dxa" w:w="2340"/>
            <w:shd w:val="clear" w:color="auto" w:fill="F4F6F9"/>
          </w:tcPr>
          <w:p>
            <w:r>
              <w:rPr>
                <w:rFonts w:ascii="Times New Roman" w:hAnsi="Times New Roman"/>
                <w:sz w:val="18"/>
              </w:rPr>
              <w:t>Cấp 6: SÁNG TẠO (Creating)</w:t>
            </w:r>
          </w:p>
        </w:tc>
        <w:tc>
          <w:tcPr>
            <w:tcW w:type="dxa" w:w="2340"/>
            <w:shd w:val="clear" w:color="auto" w:fill="FFFFFF"/>
          </w:tcPr>
          <w:p>
            <w:r>
              <w:rPr>
                <w:rFonts w:ascii="Times New Roman" w:hAnsi="Times New Roman"/>
                <w:sz w:val="18"/>
              </w:rPr>
              <w:t>Tổng hợp các yếu tố để tạo ra sản phẩm, mô hình hoặc giải pháp mới.</w:t>
            </w:r>
          </w:p>
        </w:tc>
        <w:tc>
          <w:tcPr>
            <w:tcW w:type="dxa" w:w="2340"/>
            <w:shd w:val="clear" w:color="auto" w:fill="FFFFFF"/>
          </w:tcPr>
          <w:p>
            <w:r>
              <w:rPr>
                <w:rFonts w:ascii="Times New Roman" w:hAnsi="Times New Roman"/>
                <w:sz w:val="18"/>
              </w:rPr>
              <w:t>Thiết kế, Xây dựng, Phát triển, Đề xuất, Mô hình hóa, Sáng chế, Tích hợp.</w:t>
            </w:r>
          </w:p>
        </w:tc>
        <w:tc>
          <w:tcPr>
            <w:tcW w:type="dxa" w:w="2340"/>
            <w:shd w:val="clear" w:color="auto" w:fill="FFFFFF"/>
          </w:tcPr>
          <w:p>
            <w:r>
              <w:rPr>
                <w:rFonts w:ascii="Times New Roman" w:hAnsi="Times New Roman"/>
                <w:sz w:val="18"/>
              </w:rPr>
              <w:t>Làm đồ án môn học (Project), thiết kế kiến trúc phần mềm, phát triển sản phẩm.</w:t>
            </w:r>
          </w:p>
        </w:tc>
      </w:tr>
    </w:tbl>
    <w:p>
      <w:pPr>
        <w:pStyle w:val="Heading1"/>
        <w:spacing w:before="280" w:after="120"/>
      </w:pPr>
      <w:r>
        <w:rPr>
          <w:rFonts w:ascii="Times New Roman" w:hAnsi="Times New Roman"/>
          <w:b/>
          <w:color w:val="003366"/>
          <w:sz w:val="28"/>
        </w:rPr>
        <w:t>PHẦN 3: PHƯƠNG PHÁP THIẾT KẾ TIÊU CHÍ ĐÁNH GIÁ (RUBRICS) ĐỊNH LƯỢNG</w:t>
      </w:r>
    </w:p>
    <w:p>
      <w:pPr>
        <w:spacing w:after="80" w:line="276" w:lineRule="auto"/>
      </w:pPr>
      <w:r>
        <w:rPr>
          <w:rFonts w:ascii="Times New Roman" w:hAnsi="Times New Roman"/>
          <w:sz w:val="22"/>
        </w:rPr>
        <w:t>Rubric là công cụ đánh giá dựa trên tiêu chí (Criterion-referenced assessment), giúp sinh viên nắm rõ yêu cầu chất lượng và giúp giảng viên chấm điểm khách quan, nhất quán giữa các lớp học phần:</w:t>
      </w:r>
    </w:p>
    <w:p>
      <w:pPr>
        <w:pStyle w:val="Heading2"/>
        <w:spacing w:before="200" w:after="80"/>
      </w:pPr>
      <w:r>
        <w:rPr>
          <w:rFonts w:ascii="Times New Roman" w:hAnsi="Times New Roman"/>
          <w:b/>
          <w:color w:val="1B365D"/>
          <w:sz w:val="24"/>
        </w:rPr>
        <w:t>3.1. Cấu trúc một Bảng Rubric Phân tích (Analytic Rubric)</w:t>
      </w:r>
    </w:p>
    <w:p>
      <w:pPr>
        <w:spacing w:after="80" w:line="276" w:lineRule="auto"/>
      </w:pPr>
      <w:r>
        <w:rPr>
          <w:rFonts w:ascii="Times New Roman" w:hAnsi="Times New Roman"/>
          <w:sz w:val="22"/>
        </w:rPr>
        <w:t>1. Các tiêu chí đánh giá (Evaluation Criteria): Thể hiện các khía cạnh khác nhau của bài làm (ví dụ đối với Đồ án môn học: Tính hoàn thiện chức năng, Chất lượng mã nguồn, Báo cáo kỹ thuật, Thuyết trình và Demo).</w:t>
      </w:r>
    </w:p>
    <w:p>
      <w:pPr>
        <w:spacing w:after="80" w:line="276" w:lineRule="auto"/>
      </w:pPr>
      <w:r>
        <w:rPr>
          <w:rFonts w:ascii="Times New Roman" w:hAnsi="Times New Roman"/>
          <w:sz w:val="22"/>
        </w:rPr>
        <w:t>2. Trọng số phần trăm (Weight): Phản ánh tầm quan trọng của từng tiêu chí (ví dụ: Chức năng 40%, Mã nguồn 20%, Báo cáo 20%, Thuyết trình 20%).</w:t>
      </w:r>
    </w:p>
    <w:p>
      <w:pPr>
        <w:spacing w:after="80" w:line="276" w:lineRule="auto"/>
      </w:pPr>
      <w:r>
        <w:rPr>
          <w:rFonts w:ascii="Times New Roman" w:hAnsi="Times New Roman"/>
          <w:sz w:val="22"/>
        </w:rPr>
        <w:t>3. Các mức độ thành thạo (Performance Levels): Thường chia làm 4 mức:</w:t>
      </w:r>
    </w:p>
    <w:p>
      <w:pPr>
        <w:spacing w:after="80" w:line="276" w:lineRule="auto"/>
      </w:pPr>
      <w:r>
        <w:rPr>
          <w:rFonts w:ascii="Times New Roman" w:hAnsi="Times New Roman"/>
          <w:sz w:val="22"/>
        </w:rPr>
        <w:t xml:space="preserve">   • Xuất sắc (Excellent / Mức 4: 85 - 100%): Vượt trên yêu cầu, giải pháp sáng tạo, tối ưu.</w:t>
      </w:r>
    </w:p>
    <w:p>
      <w:pPr>
        <w:spacing w:after="80" w:line="276" w:lineRule="auto"/>
      </w:pPr>
      <w:r>
        <w:rPr>
          <w:rFonts w:ascii="Times New Roman" w:hAnsi="Times New Roman"/>
          <w:sz w:val="22"/>
        </w:rPr>
        <w:t xml:space="preserve">   • Đạt yêu cầu tốt (Good / Mức 3: 70 - 84%): Hoàn thành đầy đủ yêu cầu, ít lỗi nhỏ.</w:t>
      </w:r>
    </w:p>
    <w:p>
      <w:pPr>
        <w:spacing w:after="80" w:line="276" w:lineRule="auto"/>
      </w:pPr>
      <w:r>
        <w:rPr>
          <w:rFonts w:ascii="Times New Roman" w:hAnsi="Times New Roman"/>
          <w:sz w:val="22"/>
        </w:rPr>
        <w:t xml:space="preserve">   • Trung bình (Fair / Mức 2: 50 - 69%): Hoàn thành một phần, còn nhiều lỗi kỹ thuật.</w:t>
      </w:r>
    </w:p>
    <w:p>
      <w:pPr>
        <w:spacing w:after="80" w:line="276" w:lineRule="auto"/>
      </w:pPr>
      <w:r>
        <w:rPr>
          <w:rFonts w:ascii="Times New Roman" w:hAnsi="Times New Roman"/>
          <w:sz w:val="22"/>
        </w:rPr>
        <w:t xml:space="preserve">   • Chưa đạt (Poor / Mức 1: 0 - 49%): Thiếu nhiều chức năng, sao chép hoặc không vận hành được.</w:t>
      </w:r>
    </w:p>
    <w:p>
      <w:pPr>
        <w:pStyle w:val="Heading1"/>
        <w:spacing w:before="280" w:after="120"/>
      </w:pPr>
      <w:r>
        <w:rPr>
          <w:rFonts w:ascii="Times New Roman" w:hAnsi="Times New Roman"/>
          <w:b/>
          <w:color w:val="003366"/>
          <w:sz w:val="28"/>
        </w:rPr>
        <w:t>PHẦN 4: CẨM NANG THIẾT LẬP VÀ VẬN HÀNH LỚP HỌC SỐ TRÊN HỆ THỐNG MOODLE LMS</w:t>
      </w:r>
    </w:p>
    <w:p>
      <w:pPr>
        <w:spacing w:after="80" w:line="276" w:lineRule="auto"/>
      </w:pPr>
      <w:r>
        <w:rPr>
          <w:rFonts w:ascii="Times New Roman" w:hAnsi="Times New Roman"/>
          <w:sz w:val="22"/>
        </w:rPr>
        <w:t>Trường ĐHKHTN triển khai hệ thống quản trị học tập số Moodle (courses.cttd.hcmus.edu.vn và moodle.hcmus.edu.vn). Dưới đây là quy trình chuẩn hóa dành cho Giảng viên và Trợ giảng (TA):</w:t>
      </w:r>
    </w:p>
    <w:p>
      <w:pPr>
        <w:pStyle w:val="Heading2"/>
        <w:spacing w:before="200" w:after="80"/>
      </w:pPr>
      <w:r>
        <w:rPr>
          <w:rFonts w:ascii="Times New Roman" w:hAnsi="Times New Roman"/>
          <w:b/>
          <w:color w:val="1B365D"/>
          <w:sz w:val="24"/>
        </w:rPr>
        <w:t>4.1. Cấu hình Hoạt động Nộp bài (Assignment Activity)</w:t>
      </w:r>
    </w:p>
    <w:p>
      <w:pPr>
        <w:spacing w:after="80" w:line="276" w:lineRule="auto"/>
      </w:pPr>
      <w:r>
        <w:rPr>
          <w:rFonts w:ascii="Times New Roman" w:hAnsi="Times New Roman"/>
          <w:sz w:val="22"/>
        </w:rPr>
        <w:t>• Thiết lập thời hạn nộp bài: Due date (Hạn chót mềm) và Cut-off date (Hạn chót cứng - hệ thống từ chối nhận bài sau mốc này).</w:t>
      </w:r>
    </w:p>
    <w:p>
      <w:pPr>
        <w:spacing w:after="80" w:line="276" w:lineRule="auto"/>
      </w:pPr>
      <w:r>
        <w:rPr>
          <w:rFonts w:ascii="Times New Roman" w:hAnsi="Times New Roman"/>
          <w:sz w:val="22"/>
        </w:rPr>
        <w:t>• Giới hạn định dạng tệp: Bắt buộc chỉ nhận định dạng PDF (đối với báo cáo) hoặc tệp nén .ZIP/.TAR.GZ (đối với mã nguồn). Giới hạn dung lượng tối đa 50MB.</w:t>
      </w:r>
    </w:p>
    <w:p>
      <w:pPr>
        <w:spacing w:after="80" w:line="276" w:lineRule="auto"/>
      </w:pPr>
      <w:r>
        <w:rPr>
          <w:rFonts w:ascii="Times New Roman" w:hAnsi="Times New Roman"/>
          <w:sz w:val="22"/>
        </w:rPr>
        <w:t>• Kích hoạt tích hợp Turnitin Plagiarism Plugin: Thiết lập Turnitin tự động quét trùng lặp ngay khi sinh viên nộp bài; cho phép sinh viên xem báo cáo Similarity Report để tự chỉnh sửa trước hạn chót.</w:t>
      </w:r>
    </w:p>
    <w:p>
      <w:pPr>
        <w:pStyle w:val="Heading2"/>
        <w:spacing w:before="200" w:after="80"/>
      </w:pPr>
      <w:r>
        <w:rPr>
          <w:rFonts w:ascii="Times New Roman" w:hAnsi="Times New Roman"/>
          <w:b/>
          <w:color w:val="1B365D"/>
          <w:sz w:val="24"/>
        </w:rPr>
        <w:t>4.2. Cấu hình Bài thi Trắc nghiệm (Quiz Activity) Chống Gian lận</w:t>
      </w:r>
    </w:p>
    <w:p>
      <w:pPr>
        <w:spacing w:after="80" w:line="276" w:lineRule="auto"/>
      </w:pPr>
      <w:r>
        <w:rPr>
          <w:rFonts w:ascii="Times New Roman" w:hAnsi="Times New Roman"/>
          <w:sz w:val="22"/>
        </w:rPr>
        <w:t>• Xây dựng Ngân hàng câu hỏi (Question Bank): Tạo các Category theo từng chương/CLO, mỗi đề thi bốc ngẫu nhiên (Random questions) để đề của mỗi sinh viên là khác nhau.</w:t>
      </w:r>
    </w:p>
    <w:p>
      <w:pPr>
        <w:spacing w:after="80" w:line="276" w:lineRule="auto"/>
      </w:pPr>
      <w:r>
        <w:rPr>
          <w:rFonts w:ascii="Times New Roman" w:hAnsi="Times New Roman"/>
          <w:sz w:val="22"/>
        </w:rPr>
        <w:t>• Trộn thứ tự câu hỏi và trộn đáp án (Shuffle questions &amp; Shuffle choices).</w:t>
      </w:r>
    </w:p>
    <w:p>
      <w:pPr>
        <w:spacing w:after="80" w:line="276" w:lineRule="auto"/>
      </w:pPr>
      <w:r>
        <w:rPr>
          <w:rFonts w:ascii="Times New Roman" w:hAnsi="Times New Roman"/>
          <w:sz w:val="22"/>
        </w:rPr>
        <w:t>• Cài đặt Giới hạn thời gian (Time limit): Bật bộ đếm thời gian tự động nộp bài khi hết giờ.</w:t>
      </w:r>
    </w:p>
    <w:p>
      <w:pPr>
        <w:spacing w:after="80" w:line="276" w:lineRule="auto"/>
      </w:pPr>
      <w:r>
        <w:rPr>
          <w:rFonts w:ascii="Times New Roman" w:hAnsi="Times New Roman"/>
          <w:sz w:val="22"/>
        </w:rPr>
        <w:t>• Bảo mật trình duyệt: Kích hoạt Safe Exam Browser (SEB) hoặc khóa chức năng copy-paste trong suốt thời gian làm bài kiểm tra trực tuyến.</w:t>
      </w:r>
    </w:p>
    <w:p>
      <w:pPr>
        <w:pStyle w:val="Heading1"/>
        <w:spacing w:before="280" w:after="120"/>
      </w:pPr>
      <w:r>
        <w:rPr>
          <w:rFonts w:ascii="Times New Roman" w:hAnsi="Times New Roman"/>
          <w:b/>
          <w:color w:val="003366"/>
          <w:sz w:val="28"/>
        </w:rPr>
        <w:t>PHẦN 5: QUY ĐỊNH BẢN QUYỀN HỌC THUẬT &amp; KHAI THÁC TÀI NGUYÊN GIÁO DỤC MỞ</w:t>
      </w:r>
    </w:p>
    <w:p>
      <w:pPr>
        <w:spacing w:after="80" w:line="276" w:lineRule="auto"/>
      </w:pPr>
      <w:r>
        <w:rPr>
          <w:rFonts w:ascii="Times New Roman" w:hAnsi="Times New Roman"/>
          <w:sz w:val="22"/>
        </w:rPr>
        <w:t>Giảng viên và sinh viên tại HCMUS phải tuân thủ nghiêm ngặt Luật Sở hữu Trí tuệ Việt Nam và các công ước quốc tế (Công ước Berne):</w:t>
      </w:r>
    </w:p>
    <w:p>
      <w:pPr>
        <w:spacing w:after="80" w:line="276" w:lineRule="auto"/>
      </w:pPr>
      <w:r>
        <w:rPr>
          <w:rFonts w:ascii="Times New Roman" w:hAnsi="Times New Roman"/>
          <w:sz w:val="22"/>
        </w:rPr>
        <w:t>• Nguyên tắc Trích dẫn Hợp lý (Fair Use): Được phép trích dẫn một đoạn trích ngắn từ sách giáo trình, hình ảnh minh họa trong slide bài giảng với mục đích giảng dạy phi thương mại, BẮT BUỘC ghi rõ tên tác giả, tên tác phẩm và năm xuất bản.</w:t>
      </w:r>
    </w:p>
    <w:p>
      <w:pPr>
        <w:spacing w:after="80" w:line="276" w:lineRule="auto"/>
      </w:pPr>
      <w:r>
        <w:rPr>
          <w:rFonts w:ascii="Times New Roman" w:hAnsi="Times New Roman"/>
          <w:sz w:val="22"/>
        </w:rPr>
        <w:t>• Nghiêm cấm phân phối lậu: Nghiêm cấm scan trọn vẹn cuốn sách giáo trình có bản quyền và đăng tải công khai lên mạng xã hội hoặc Moodle.</w:t>
      </w:r>
    </w:p>
    <w:p>
      <w:pPr>
        <w:spacing w:after="80" w:line="276" w:lineRule="auto"/>
      </w:pPr>
      <w:r>
        <w:rPr>
          <w:rFonts w:ascii="Times New Roman" w:hAnsi="Times New Roman"/>
          <w:sz w:val="22"/>
        </w:rPr>
        <w:t>• Giấy phép Tài nguyên Mở Creative Commons (CC): Khuyến khích giảng viên sử dụng và cấp phép bài giảng theo chuẩn CC BY (Ghi nhận tác giả) hoặc CC BY-NC (Phi thương mại).</w:t>
      </w:r>
    </w:p>
    <w:p>
      <w:pPr>
        <w:pStyle w:val="Heading1"/>
        <w:spacing w:before="280" w:after="120"/>
      </w:pPr>
      <w:r>
        <w:rPr>
          <w:rFonts w:ascii="Times New Roman" w:hAnsi="Times New Roman"/>
          <w:b/>
          <w:color w:val="003366"/>
          <w:sz w:val="28"/>
        </w:rPr>
        <w:t>PHẦN 6: CẨM NANG BỘ TIÊU CHUẨN KIỂM ĐỊNH CHẤT LƯỢNG AUN-QA PHIÊN BẢN 4.0</w:t>
      </w:r>
    </w:p>
    <w:p>
      <w:pPr>
        <w:spacing w:after="80" w:line="276" w:lineRule="auto"/>
      </w:pPr>
      <w:r>
        <w:rPr>
          <w:rFonts w:ascii="Times New Roman" w:hAnsi="Times New Roman"/>
          <w:sz w:val="22"/>
        </w:rPr>
        <w:t>Trường ĐH Khoa học Tự nhiên ĐHQG-HCM là một trong những cơ sở giáo dục tiên phong tại Việt Nam có nhiều chương trình đào tạo đạt chuẩn kiểm định AUN-QA và ABET. Cấu trúc 8 tiêu chuẩn AUN-QA phiên bản 4.0 chi phối việc thiết kế học liệu:</w:t>
      </w:r>
    </w:p>
    <w:tbl>
      <w:tblPr>
        <w:tblW w:type="auto" w:w="0"/>
        <w:jc w:val="center"/>
        <w:tblLook w:firstColumn="1" w:firstRow="1" w:lastColumn="0" w:lastRow="0" w:noHBand="0" w:noVBand="1" w:val="04A0"/>
      </w:tblPr>
      <w:tblGrid>
        <w:gridCol w:w="4680"/>
        <w:gridCol w:w="4680"/>
      </w:tblGrid>
      <w:tr>
        <w:tc>
          <w:tcPr>
            <w:tcW w:type="dxa" w:w="4680"/>
            <w:shd w:val="clear" w:color="auto" w:fill="003366"/>
          </w:tcPr>
          <w:p>
            <w:r>
              <w:rPr>
                <w:rFonts w:ascii="Times New Roman" w:hAnsi="Times New Roman"/>
                <w:b/>
                <w:color w:val="FFFFFF"/>
              </w:rPr>
              <w:t>Tiêu Chuẩn AUN-QA 4.0</w:t>
            </w:r>
          </w:p>
        </w:tc>
        <w:tc>
          <w:tcPr>
            <w:tcW w:type="dxa" w:w="4680"/>
            <w:shd w:val="clear" w:color="auto" w:fill="003366"/>
          </w:tcPr>
          <w:p>
            <w:r>
              <w:rPr>
                <w:rFonts w:ascii="Times New Roman" w:hAnsi="Times New Roman"/>
                <w:b/>
                <w:color w:val="FFFFFF"/>
              </w:rPr>
              <w:t>Yêu Cầu Cốt Lõi Đối Với Giảng Viên &amp; Học Liệu</w:t>
            </w:r>
          </w:p>
        </w:tc>
      </w:tr>
      <w:tr>
        <w:tc>
          <w:tcPr>
            <w:tcW w:type="dxa" w:w="4680"/>
            <w:shd w:val="clear" w:color="auto" w:fill="F4F6F9"/>
          </w:tcPr>
          <w:p>
            <w:r>
              <w:rPr>
                <w:rFonts w:ascii="Times New Roman" w:hAnsi="Times New Roman"/>
                <w:sz w:val="19"/>
              </w:rPr>
              <w:t>Tiêu chuẩn 1: Chuẩn đầu ra (Expected Learning Outcomes - ELOs)</w:t>
            </w:r>
          </w:p>
        </w:tc>
        <w:tc>
          <w:tcPr>
            <w:tcW w:type="dxa" w:w="4680"/>
            <w:shd w:val="clear" w:color="auto" w:fill="FFFFFF"/>
          </w:tcPr>
          <w:p>
            <w:r>
              <w:rPr>
                <w:rFonts w:ascii="Times New Roman" w:hAnsi="Times New Roman"/>
                <w:sz w:val="19"/>
              </w:rPr>
              <w:t>Xác định rõ ràng, đo lường được, phản ánh nhu cầu của các bên liên quan (doanh nghiệp, cựu sinh viên, giảng viên).</w:t>
            </w:r>
          </w:p>
        </w:tc>
      </w:tr>
      <w:tr>
        <w:tc>
          <w:tcPr>
            <w:tcW w:type="dxa" w:w="4680"/>
            <w:shd w:val="clear" w:color="auto" w:fill="F4F6F9"/>
          </w:tcPr>
          <w:p>
            <w:r>
              <w:rPr>
                <w:rFonts w:ascii="Times New Roman" w:hAnsi="Times New Roman"/>
                <w:sz w:val="19"/>
              </w:rPr>
              <w:t>Tiêu chuẩn 2: Cấu trúc và Nội dung Chương trình (Programme Structure)</w:t>
            </w:r>
          </w:p>
        </w:tc>
        <w:tc>
          <w:tcPr>
            <w:tcW w:type="dxa" w:w="4680"/>
            <w:shd w:val="clear" w:color="auto" w:fill="FFFFFF"/>
          </w:tcPr>
          <w:p>
            <w:r>
              <w:rPr>
                <w:rFonts w:ascii="Times New Roman" w:hAnsi="Times New Roman"/>
                <w:sz w:val="19"/>
              </w:rPr>
              <w:t>Thiết kế logic, cân bằng giữa lý thuyết và thực hành, thể hiện rõ tiến trình tích lũy từ đại cương đến chuyên sâu.</w:t>
            </w:r>
          </w:p>
        </w:tc>
      </w:tr>
      <w:tr>
        <w:tc>
          <w:tcPr>
            <w:tcW w:type="dxa" w:w="4680"/>
            <w:shd w:val="clear" w:color="auto" w:fill="F4F6F9"/>
          </w:tcPr>
          <w:p>
            <w:r>
              <w:rPr>
                <w:rFonts w:ascii="Times New Roman" w:hAnsi="Times New Roman"/>
                <w:sz w:val="19"/>
              </w:rPr>
              <w:t>Tiêu chuẩn 3: Phương pháp Dạy và Học (Teaching and Learning Approach)</w:t>
            </w:r>
          </w:p>
        </w:tc>
        <w:tc>
          <w:tcPr>
            <w:tcW w:type="dxa" w:w="4680"/>
            <w:shd w:val="clear" w:color="auto" w:fill="FFFFFF"/>
          </w:tcPr>
          <w:p>
            <w:r>
              <w:rPr>
                <w:rFonts w:ascii="Times New Roman" w:hAnsi="Times New Roman"/>
                <w:sz w:val="19"/>
              </w:rPr>
              <w:t>Lấy người học làm trung tâm (Student-centered learning), khuyến khích tư duy phản biện, học tập suốt đời.</w:t>
            </w:r>
          </w:p>
        </w:tc>
      </w:tr>
      <w:tr>
        <w:tc>
          <w:tcPr>
            <w:tcW w:type="dxa" w:w="4680"/>
            <w:shd w:val="clear" w:color="auto" w:fill="F4F6F9"/>
          </w:tcPr>
          <w:p>
            <w:r>
              <w:rPr>
                <w:rFonts w:ascii="Times New Roman" w:hAnsi="Times New Roman"/>
                <w:sz w:val="19"/>
              </w:rPr>
              <w:t>Tiêu chuẩn 4: Đánh giá Sinh viên (Student Assessment)</w:t>
            </w:r>
          </w:p>
        </w:tc>
        <w:tc>
          <w:tcPr>
            <w:tcW w:type="dxa" w:w="4680"/>
            <w:shd w:val="clear" w:color="auto" w:fill="FFFFFF"/>
          </w:tcPr>
          <w:p>
            <w:r>
              <w:rPr>
                <w:rFonts w:ascii="Times New Roman" w:hAnsi="Times New Roman"/>
                <w:sz w:val="19"/>
              </w:rPr>
              <w:t>Minh bạch, đa dạng (formative &amp; summative), sử dụng Rubrics, đảm bảo tính giá trị và độ tin cậy của bài thi.</w:t>
            </w:r>
          </w:p>
        </w:tc>
      </w:tr>
      <w:tr>
        <w:tc>
          <w:tcPr>
            <w:tcW w:type="dxa" w:w="4680"/>
            <w:shd w:val="clear" w:color="auto" w:fill="F4F6F9"/>
          </w:tcPr>
          <w:p>
            <w:r>
              <w:rPr>
                <w:rFonts w:ascii="Times New Roman" w:hAnsi="Times New Roman"/>
                <w:sz w:val="19"/>
              </w:rPr>
              <w:t>Tiêu chuẩn 5: Đội ngũ Giảng viên (Academic Staff)</w:t>
            </w:r>
          </w:p>
        </w:tc>
        <w:tc>
          <w:tcPr>
            <w:tcW w:type="dxa" w:w="4680"/>
            <w:shd w:val="clear" w:color="auto" w:fill="FFFFFF"/>
          </w:tcPr>
          <w:p>
            <w:r>
              <w:rPr>
                <w:rFonts w:ascii="Times New Roman" w:hAnsi="Times New Roman"/>
                <w:sz w:val="19"/>
              </w:rPr>
              <w:t>Đủ số lượng, chất lượng học vị Tiến sĩ/Phó Giáo sư cao, được bồi dưỡng phương pháp sư phạm đại học liên tục.</w:t>
            </w:r>
          </w:p>
        </w:tc>
      </w:tr>
      <w:tr>
        <w:tc>
          <w:tcPr>
            <w:tcW w:type="dxa" w:w="4680"/>
            <w:shd w:val="clear" w:color="auto" w:fill="F4F6F9"/>
          </w:tcPr>
          <w:p>
            <w:r>
              <w:rPr>
                <w:rFonts w:ascii="Times New Roman" w:hAnsi="Times New Roman"/>
                <w:sz w:val="19"/>
              </w:rPr>
              <w:t>Tiêu chuẩn 6: Dịch vụ Hỗ trợ Sinh viên (Student Support Services)</w:t>
            </w:r>
          </w:p>
        </w:tc>
        <w:tc>
          <w:tcPr>
            <w:tcW w:type="dxa" w:w="4680"/>
            <w:shd w:val="clear" w:color="auto" w:fill="FFFFFF"/>
          </w:tcPr>
          <w:p>
            <w:r>
              <w:rPr>
                <w:rFonts w:ascii="Times New Roman" w:hAnsi="Times New Roman"/>
                <w:sz w:val="19"/>
              </w:rPr>
              <w:t>Tư vấn học tập (Academic advising), chăm sóc sức khỏe tinh thần, hỗ trợ việc làm và phong trào ngoại khóa.</w:t>
            </w:r>
          </w:p>
        </w:tc>
      </w:tr>
      <w:tr>
        <w:tc>
          <w:tcPr>
            <w:tcW w:type="dxa" w:w="4680"/>
            <w:shd w:val="clear" w:color="auto" w:fill="F4F6F9"/>
          </w:tcPr>
          <w:p>
            <w:r>
              <w:rPr>
                <w:rFonts w:ascii="Times New Roman" w:hAnsi="Times New Roman"/>
                <w:sz w:val="19"/>
              </w:rPr>
              <w:t>Tiêu chuẩn 7: Cơ sở Vật chất &amp; Hạ tầng (Facilities and Infrastructure)</w:t>
            </w:r>
          </w:p>
        </w:tc>
        <w:tc>
          <w:tcPr>
            <w:tcW w:type="dxa" w:w="4680"/>
            <w:shd w:val="clear" w:color="auto" w:fill="FFFFFF"/>
          </w:tcPr>
          <w:p>
            <w:r>
              <w:rPr>
                <w:rFonts w:ascii="Times New Roman" w:hAnsi="Times New Roman"/>
                <w:sz w:val="19"/>
              </w:rPr>
              <w:t>Phòng thí nghiệm hiện đại, thư viện số phong phú, mạng Wi-Fi tốc độ cao, hệ thống LMS Moodle ổn định.</w:t>
            </w:r>
          </w:p>
        </w:tc>
      </w:tr>
      <w:tr>
        <w:tc>
          <w:tcPr>
            <w:tcW w:type="dxa" w:w="4680"/>
            <w:shd w:val="clear" w:color="auto" w:fill="F4F6F9"/>
          </w:tcPr>
          <w:p>
            <w:r>
              <w:rPr>
                <w:rFonts w:ascii="Times New Roman" w:hAnsi="Times New Roman"/>
                <w:sz w:val="19"/>
              </w:rPr>
              <w:t>Tiêu chuẩn 8: Đầu ra và Kết quả Đào tạo (Output and Outcomes)</w:t>
            </w:r>
          </w:p>
        </w:tc>
        <w:tc>
          <w:tcPr>
            <w:tcW w:type="dxa" w:w="4680"/>
            <w:shd w:val="clear" w:color="auto" w:fill="FFFFFF"/>
          </w:tcPr>
          <w:p>
            <w:r>
              <w:rPr>
                <w:rFonts w:ascii="Times New Roman" w:hAnsi="Times New Roman"/>
                <w:sz w:val="19"/>
              </w:rPr>
              <w:t>Tỷ lệ sinh viên tốt nghiệp đúng hạn, tỷ lệ có việc làm trong vòng 12 tháng, năng suất công bố khoa học sinh viên.</w:t>
            </w:r>
          </w:p>
        </w:tc>
      </w:tr>
    </w:tbl>
    <w:p>
      <w:pPr>
        <w:pStyle w:val="Heading1"/>
        <w:spacing w:before="280" w:after="120"/>
      </w:pPr>
      <w:r>
        <w:rPr>
          <w:rFonts w:ascii="Times New Roman" w:hAnsi="Times New Roman"/>
          <w:b/>
          <w:color w:val="003366"/>
          <w:sz w:val="28"/>
        </w:rPr>
        <w:t>PHẦN 7: BẢNG TRA CỨU ĐỘNG TỪ HÀNH ĐỘNG THANG BLOOM DÀNH RIÊNG CHO KHỐI STEM (KHOA HỌC &amp; CÔNG NGHỆ)</w:t>
      </w:r>
    </w:p>
    <w:p>
      <w:pPr>
        <w:spacing w:after="80" w:line="276" w:lineRule="auto"/>
      </w:pPr>
      <w:r>
        <w:rPr>
          <w:rFonts w:ascii="Times New Roman" w:hAnsi="Times New Roman"/>
          <w:sz w:val="22"/>
        </w:rPr>
        <w:t>Nhằm hỗ trợ các Khoa Toán, CNTT, Vật lý, Hóa học, Sinh học viết chuẩn đầu ra CLO chính xác, bảng phân loại động từ chuyên sâu cho khối STEM được thiết lập như sau:</w:t>
      </w:r>
    </w:p>
    <w:tbl>
      <w:tblPr>
        <w:tblW w:type="auto" w:w="0"/>
        <w:jc w:val="center"/>
        <w:tblLook w:firstColumn="1" w:firstRow="1" w:lastColumn="0" w:lastRow="0" w:noHBand="0" w:noVBand="1" w:val="04A0"/>
      </w:tblPr>
      <w:tblGrid>
        <w:gridCol w:w="4680"/>
        <w:gridCol w:w="4680"/>
      </w:tblGrid>
      <w:tr>
        <w:tc>
          <w:tcPr>
            <w:tcW w:type="dxa" w:w="4680"/>
            <w:shd w:val="clear" w:color="auto" w:fill="007744"/>
          </w:tcPr>
          <w:p>
            <w:r>
              <w:rPr>
                <w:rFonts w:ascii="Times New Roman" w:hAnsi="Times New Roman"/>
                <w:b/>
                <w:color w:val="FFFFFF"/>
              </w:rPr>
              <w:t>Cấp Độ Tư Duy</w:t>
            </w:r>
          </w:p>
        </w:tc>
        <w:tc>
          <w:tcPr>
            <w:tcW w:type="dxa" w:w="4680"/>
            <w:shd w:val="clear" w:color="auto" w:fill="007744"/>
          </w:tcPr>
          <w:p>
            <w:r>
              <w:rPr>
                <w:rFonts w:ascii="Times New Roman" w:hAnsi="Times New Roman"/>
                <w:b/>
                <w:color w:val="FFFFFF"/>
              </w:rPr>
              <w:t>Động Từ &amp; Ngữ Cảnh Ứng Dụng Khối STEM</w:t>
            </w:r>
          </w:p>
        </w:tc>
      </w:tr>
      <w:tr>
        <w:tc>
          <w:tcPr>
            <w:tcW w:type="dxa" w:w="4680"/>
            <w:shd w:val="clear" w:color="auto" w:fill="F4FAF6"/>
          </w:tcPr>
          <w:p>
            <w:r>
              <w:rPr>
                <w:rFonts w:ascii="Times New Roman" w:hAnsi="Times New Roman"/>
                <w:sz w:val="19"/>
              </w:rPr>
              <w:t>Nhớ (Remembering)</w:t>
            </w:r>
          </w:p>
        </w:tc>
        <w:tc>
          <w:tcPr>
            <w:tcW w:type="dxa" w:w="4680"/>
            <w:shd w:val="clear" w:color="auto" w:fill="FFFFFF"/>
          </w:tcPr>
          <w:p>
            <w:r>
              <w:rPr>
                <w:rFonts w:ascii="Times New Roman" w:hAnsi="Times New Roman"/>
                <w:sz w:val="19"/>
              </w:rPr>
              <w:t>Nhận biết công thức tích phân, gọi tên các acid nucleic, liệt kê các cổng logic cơ bản, phát biểu định luật bảo toàn động lượng, nhắc lại các bước thuật toán Dijkstra.</w:t>
            </w:r>
          </w:p>
        </w:tc>
      </w:tr>
      <w:tr>
        <w:tc>
          <w:tcPr>
            <w:tcW w:type="dxa" w:w="4680"/>
            <w:shd w:val="clear" w:color="auto" w:fill="F4FAF6"/>
          </w:tcPr>
          <w:p>
            <w:r>
              <w:rPr>
                <w:rFonts w:ascii="Times New Roman" w:hAnsi="Times New Roman"/>
                <w:sz w:val="19"/>
              </w:rPr>
              <w:t>Hiểu (Understanding)</w:t>
            </w:r>
          </w:p>
        </w:tc>
        <w:tc>
          <w:tcPr>
            <w:tcW w:type="dxa" w:w="4680"/>
            <w:shd w:val="clear" w:color="auto" w:fill="FFFFFF"/>
          </w:tcPr>
          <w:p>
            <w:r>
              <w:rPr>
                <w:rFonts w:ascii="Times New Roman" w:hAnsi="Times New Roman"/>
                <w:sz w:val="19"/>
              </w:rPr>
              <w:t>Giải thích nguyên lý hoạt động của bán dẫn p-n, so sánh cấu trúc dữ liệu mảng và danh sách liên kết, tóm tắt cơ chế phiên mã và dịch mã, phân loại các loại đá trầm tích.</w:t>
            </w:r>
          </w:p>
        </w:tc>
      </w:tr>
      <w:tr>
        <w:tc>
          <w:tcPr>
            <w:tcW w:type="dxa" w:w="4680"/>
            <w:shd w:val="clear" w:color="auto" w:fill="F4FAF6"/>
          </w:tcPr>
          <w:p>
            <w:r>
              <w:rPr>
                <w:rFonts w:ascii="Times New Roman" w:hAnsi="Times New Roman"/>
                <w:sz w:val="19"/>
              </w:rPr>
              <w:t>Vận dụng (Applying)</w:t>
            </w:r>
          </w:p>
        </w:tc>
        <w:tc>
          <w:tcPr>
            <w:tcW w:type="dxa" w:w="4680"/>
            <w:shd w:val="clear" w:color="auto" w:fill="FFFFFF"/>
          </w:tcPr>
          <w:p>
            <w:r>
              <w:rPr>
                <w:rFonts w:ascii="Times New Roman" w:hAnsi="Times New Roman"/>
                <w:sz w:val="19"/>
              </w:rPr>
              <w:t>Tính toán sai số phép đo quang phổ, lập trình thuật toán sắp xếp nhanh (QuickSort), giải phương trình vi phân cấp 2, thực hiện chuẩn độ acid-base bằng chất chỉ thị.</w:t>
            </w:r>
          </w:p>
        </w:tc>
      </w:tr>
      <w:tr>
        <w:tc>
          <w:tcPr>
            <w:tcW w:type="dxa" w:w="4680"/>
            <w:shd w:val="clear" w:color="auto" w:fill="F4FAF6"/>
          </w:tcPr>
          <w:p>
            <w:r>
              <w:rPr>
                <w:rFonts w:ascii="Times New Roman" w:hAnsi="Times New Roman"/>
                <w:sz w:val="19"/>
              </w:rPr>
              <w:t>Phân tích (Analyzing)</w:t>
            </w:r>
          </w:p>
        </w:tc>
        <w:tc>
          <w:tcPr>
            <w:tcW w:type="dxa" w:w="4680"/>
            <w:shd w:val="clear" w:color="auto" w:fill="FFFFFF"/>
          </w:tcPr>
          <w:p>
            <w:r>
              <w:rPr>
                <w:rFonts w:ascii="Times New Roman" w:hAnsi="Times New Roman"/>
                <w:sz w:val="19"/>
              </w:rPr>
              <w:t>Phân tích độ phức tạp thời gian và không gian thuật toán, bóc tách cấu trúc tinh thể bằng phổ XRD, khảo sát mức độ ô nhiễm không khí theo chỉ số AQI, debug lỗi tràn bộ nhớ (Memory Leak).</w:t>
            </w:r>
          </w:p>
        </w:tc>
      </w:tr>
      <w:tr>
        <w:tc>
          <w:tcPr>
            <w:tcW w:type="dxa" w:w="4680"/>
            <w:shd w:val="clear" w:color="auto" w:fill="F4FAF6"/>
          </w:tcPr>
          <w:p>
            <w:r>
              <w:rPr>
                <w:rFonts w:ascii="Times New Roman" w:hAnsi="Times New Roman"/>
                <w:sz w:val="19"/>
              </w:rPr>
              <w:t>Đánh giá (Evaluating)</w:t>
            </w:r>
          </w:p>
        </w:tc>
        <w:tc>
          <w:tcPr>
            <w:tcW w:type="dxa" w:w="4680"/>
            <w:shd w:val="clear" w:color="auto" w:fill="FFFFFF"/>
          </w:tcPr>
          <w:p>
            <w:r>
              <w:rPr>
                <w:rFonts w:ascii="Times New Roman" w:hAnsi="Times New Roman"/>
                <w:sz w:val="19"/>
              </w:rPr>
              <w:t>Đánh giá độ hội tụ của mô hình mạng nơ-ron sâu (Deep Neural Network), thẩm định mức độ độc hại của hợp chất hóa học, phản biện giải pháp kiến trúc phần mềm, so sánh hiệu năng hai hệ CSDL.</w:t>
            </w:r>
          </w:p>
        </w:tc>
      </w:tr>
      <w:tr>
        <w:tc>
          <w:tcPr>
            <w:tcW w:type="dxa" w:w="4680"/>
            <w:shd w:val="clear" w:color="auto" w:fill="F4FAF6"/>
          </w:tcPr>
          <w:p>
            <w:r>
              <w:rPr>
                <w:rFonts w:ascii="Times New Roman" w:hAnsi="Times New Roman"/>
                <w:sz w:val="19"/>
              </w:rPr>
              <w:t>Sáng tạo (Creating)</w:t>
            </w:r>
          </w:p>
        </w:tc>
        <w:tc>
          <w:tcPr>
            <w:tcW w:type="dxa" w:w="4680"/>
            <w:shd w:val="clear" w:color="auto" w:fill="FFFFFF"/>
          </w:tcPr>
          <w:p>
            <w:r>
              <w:rPr>
                <w:rFonts w:ascii="Times New Roman" w:hAnsi="Times New Roman"/>
                <w:sz w:val="19"/>
              </w:rPr>
              <w:t>Thiết kế hệ thống IoT giám sát nông nghiệp thông minh, xây dựng pipeline xử lý dữ liệu lớn, đề xuất giải pháp xử lý nước thải công nghiệp bằng màng sinh học, chế tạo vật liệu nano composite.</w:t>
            </w:r>
          </w:p>
        </w:tc>
      </w:tr>
    </w:tbl>
    <w:p>
      <w:pPr>
        <w:pStyle w:val="Heading1"/>
        <w:spacing w:before="280" w:after="120"/>
      </w:pPr>
      <w:r>
        <w:rPr>
          <w:rFonts w:ascii="Times New Roman" w:hAnsi="Times New Roman"/>
          <w:b/>
          <w:color w:val="003366"/>
          <w:sz w:val="28"/>
        </w:rPr>
        <w:t>PHẦN 8: PHÁT TRIỂN HỌC LIỆU SỐ TƯƠNG TÁC H5P TRÊN HỆ THỐNG MOODLE LMS</w:t>
      </w:r>
    </w:p>
    <w:p>
      <w:pPr>
        <w:spacing w:after="80" w:line="276" w:lineRule="auto"/>
      </w:pPr>
      <w:r>
        <w:rPr>
          <w:rFonts w:ascii="Times New Roman" w:hAnsi="Times New Roman"/>
          <w:sz w:val="22"/>
        </w:rPr>
        <w:t>H5P là công cụ mã nguồn mở tích hợp trực tiếp trên Moodle trường, giúp chuyển đổi slide tĩnh thành học liệu tương tác hấp dẫn:</w:t>
      </w:r>
    </w:p>
    <w:p>
      <w:pPr>
        <w:spacing w:after="80" w:line="276" w:lineRule="auto"/>
      </w:pPr>
      <w:r>
        <w:rPr>
          <w:rFonts w:ascii="Times New Roman" w:hAnsi="Times New Roman"/>
          <w:sz w:val="22"/>
        </w:rPr>
        <w:t>• Video tương tác (Interactive Video): Nhúng trực tiếp câu hỏi trắc nghiệm, hộp thông tin giải thích tại các mốc thời gian cụ thể của video bài giảng. Sinh viên phải trả lời đúng mới được xem tiếp.</w:t>
      </w:r>
    </w:p>
    <w:p>
      <w:pPr>
        <w:spacing w:after="80" w:line="276" w:lineRule="auto"/>
      </w:pPr>
      <w:r>
        <w:rPr>
          <w:rFonts w:ascii="Times New Roman" w:hAnsi="Times New Roman"/>
          <w:sz w:val="22"/>
        </w:rPr>
        <w:t>• Bài giảng trình chiếu tương tác (Course Presentation): Tích hợp slide bài giảng với các bài tập nối chữ, điền khuyết, kéo thả hình ảnh sinh động.</w:t>
      </w:r>
    </w:p>
    <w:p>
      <w:pPr>
        <w:spacing w:after="80" w:line="276" w:lineRule="auto"/>
      </w:pPr>
      <w:r>
        <w:rPr>
          <w:rFonts w:ascii="Times New Roman" w:hAnsi="Times New Roman"/>
          <w:sz w:val="22"/>
        </w:rPr>
        <w:t>• Thẻ ghi nhớ thông minh (Flashcards): Phục vụ việc ôn tập thuật ngữ chuyên ngành tiếng Anh, công thức toán học và cấu trúc hóa học.</w:t>
      </w:r>
    </w:p>
    <w:p>
      <w:pPr>
        <w:pStyle w:val="Heading1"/>
        <w:spacing w:before="280" w:after="120"/>
      </w:pPr>
      <w:r>
        <w:rPr>
          <w:rFonts w:ascii="Times New Roman" w:hAnsi="Times New Roman"/>
          <w:b/>
          <w:color w:val="003366"/>
          <w:sz w:val="28"/>
        </w:rPr>
        <w:t>PHẦN 9: QUY CHUẨN NHẬP ĐIỂM HỌC KỲ &amp; QUẢN TRỊ KHẢO THÍ BỘ MÔN</w:t>
      </w:r>
    </w:p>
    <w:p>
      <w:pPr>
        <w:spacing w:after="80" w:line="276" w:lineRule="auto"/>
      </w:pPr>
      <w:r>
        <w:rPr>
          <w:rFonts w:ascii="Times New Roman" w:hAnsi="Times New Roman"/>
          <w:sz w:val="22"/>
        </w:rPr>
        <w:t>1. Thời hạn công bố điểm thi:</w:t>
      </w:r>
    </w:p>
    <w:p>
      <w:pPr>
        <w:spacing w:after="80" w:line="276" w:lineRule="auto"/>
      </w:pPr>
      <w:r>
        <w:rPr>
          <w:rFonts w:ascii="Times New Roman" w:hAnsi="Times New Roman"/>
          <w:sz w:val="22"/>
        </w:rPr>
        <w:t>• Theo Quy chế Khảo thí Trường ĐHKHTN, cán bộ chấm thi phải hoàn thành chấm thi và nhập điểm lên hệ thống portal trong thời hạn tối đa 10 ngày làm việc kể từ ngày thi kết thúc học phần.</w:t>
      </w:r>
    </w:p>
    <w:p>
      <w:pPr>
        <w:spacing w:after="80" w:line="276" w:lineRule="auto"/>
      </w:pPr>
      <w:r>
        <w:rPr>
          <w:rFonts w:ascii="Times New Roman" w:hAnsi="Times New Roman"/>
          <w:sz w:val="22"/>
        </w:rPr>
        <w:t>2. Quy trình khóa sổ điểm:</w:t>
      </w:r>
    </w:p>
    <w:p>
      <w:pPr>
        <w:spacing w:after="80" w:line="276" w:lineRule="auto"/>
      </w:pPr>
      <w:r>
        <w:rPr>
          <w:rFonts w:ascii="Times New Roman" w:hAnsi="Times New Roman"/>
          <w:sz w:val="22"/>
        </w:rPr>
        <w:t>• Giảng viên in Bảng điểm gốc có chữ ký xác nhận, nộp về Giáo vụ Khoa.</w:t>
      </w:r>
    </w:p>
    <w:p>
      <w:pPr>
        <w:spacing w:after="80" w:line="276" w:lineRule="auto"/>
      </w:pPr>
      <w:r>
        <w:rPr>
          <w:rFonts w:ascii="Times New Roman" w:hAnsi="Times New Roman"/>
          <w:sz w:val="22"/>
        </w:rPr>
        <w:t>• Trưởng Bộ môn và Trưởng Khoa ký duyệt bảng điểm chính thức trước khi nộp về Phòng Đào tạo để công bố điểm trên portal cho sinh viên tra cứu.</w:t>
      </w:r>
    </w:p>
    <w:p>
      <w:pPr>
        <w:spacing w:after="80" w:line="276" w:lineRule="auto"/>
      </w:pPr>
      <w:r>
        <w:rPr>
          <w:rFonts w:ascii="Times New Roman" w:hAnsi="Times New Roman"/>
          <w:sz w:val="22"/>
        </w:rPr>
        <w:t>• Sau khi bảng điểm đã khóa sổ, việc điều chỉnh điểm (do cộng sót điểm hoặc phúc khảo) bắt buộc phải có biên bản giải trình của Giảng viên phụ trách và chữ ký phê duyệt của Trưởng Khoa.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