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5007" w14:textId="77777777" w:rsidR="004B2397" w:rsidRPr="004B2397" w:rsidRDefault="004B2397" w:rsidP="004B2397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>第一章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 xml:space="preserve">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>研究背景与意义</w:t>
      </w:r>
    </w:p>
    <w:p w14:paraId="4595140E" w14:textId="77777777" w:rsidR="004B2397" w:rsidRPr="004B2397" w:rsidRDefault="004B2397" w:rsidP="004B2397">
      <w:pPr>
        <w:widowControl/>
        <w:shd w:val="clear" w:color="auto" w:fill="FFFFFF"/>
        <w:spacing w:before="312" w:after="31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在全球气候变化日益严峻的背景下，碳排放监测已成为国际经济竞争与治理能力的核心要素。我国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双碳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战略进入关键攻坚期，对碳排放监测的精准性、实时性与可验证性提出了前所未有的高标准要求。</w:t>
      </w:r>
    </w:p>
    <w:p w14:paraId="032F2C10" w14:textId="77777777" w:rsidR="004B2397" w:rsidRPr="004B2397" w:rsidRDefault="004B2397" w:rsidP="004B2397">
      <w:pPr>
        <w:widowControl/>
        <w:shd w:val="clear" w:color="auto" w:fill="FFFFFF"/>
        <w:spacing w:before="312" w:after="31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当前，传统排放因子法存在明显时间滞后性，企业自报核算数据质量参差不齐，而连续排放监测系统（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CEMS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）成本高昂，难以普及。这些方法论缺陷导致碳市场价格信号传导不畅，政策响应存在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数据盲区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14:paraId="43BA2686" w14:textId="77777777" w:rsidR="004B2397" w:rsidRPr="004B2397" w:rsidRDefault="004B2397" w:rsidP="004B2397">
      <w:pPr>
        <w:widowControl/>
        <w:shd w:val="clear" w:color="auto" w:fill="FFFFFF"/>
        <w:spacing w:before="312" w:after="31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电网数据资源为突破监测瓶颈提供了创新路径。我国超过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6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亿只智能电表覆盖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99%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以上用电主体，负荷数据采集精度达到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15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分钟级，形成全球最大规模高频用电数据库。本项目旨在利用这一优势，构建基于电碳耦合的能源消费碳排放监测技术体系，为实现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双碳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目标提供精准、实时、可信的数据支撑。</w:t>
      </w:r>
    </w:p>
    <w:p w14:paraId="5764ABD0" w14:textId="77777777" w:rsidR="004B2397" w:rsidRPr="004B2397" w:rsidRDefault="004B2397" w:rsidP="004B2397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>第二章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 xml:space="preserve">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>研究思路与技术路线</w:t>
      </w:r>
    </w:p>
    <w:p w14:paraId="4C201FD5" w14:textId="77777777" w:rsidR="004F3329" w:rsidRDefault="009874D5">
      <w:r>
        <w:t>补充说明：本章研究思路对应</w:t>
      </w:r>
      <w:r>
        <w:t>PPT</w:t>
      </w:r>
      <w:r>
        <w:t>第</w:t>
      </w:r>
      <w:r>
        <w:t>3</w:t>
      </w:r>
      <w:r>
        <w:t>页框架图，展示了从数据输入、特征分类到模型构建与应用的完整流程。</w:t>
      </w:r>
    </w:p>
    <w:p w14:paraId="0771FCFC" w14:textId="77777777" w:rsidR="004B2397" w:rsidRPr="004B2397" w:rsidRDefault="004B2397" w:rsidP="004B2397">
      <w:pPr>
        <w:widowControl/>
        <w:shd w:val="clear" w:color="auto" w:fill="FFFFFF"/>
        <w:spacing w:before="312" w:after="31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本研究基于电碳耦合理论，采用数据驱动与物理模型相结合的方法，通过多</w:t>
      </w:r>
      <w:proofErr w:type="gram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源数据</w:t>
      </w:r>
      <w:proofErr w:type="gramEnd"/>
      <w:r w:rsidRPr="004B2397">
        <w:rPr>
          <w:rFonts w:ascii="Segoe UI" w:eastAsia="宋体" w:hAnsi="Segoe UI" w:cs="Segoe UI"/>
          <w:color w:val="000000"/>
          <w:kern w:val="0"/>
          <w:szCs w:val="21"/>
        </w:rPr>
        <w:t>融合、特征提取、模型构建等关键技术，建立高时空分辨率的碳排放监测模型。整体研究思路与技术路线框架如下图所示：</w:t>
      </w:r>
    </w:p>
    <w:p w14:paraId="3B02F16A" w14:textId="77777777" w:rsidR="004B2397" w:rsidRPr="004B2397" w:rsidRDefault="004B2397" w:rsidP="004B2397">
      <w:pPr>
        <w:widowControl/>
        <w:shd w:val="clear" w:color="auto" w:fill="FFFFFF"/>
        <w:spacing w:before="31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（此处应插入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PPT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3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页的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研究思路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框架图）</w:t>
      </w:r>
    </w:p>
    <w:p w14:paraId="7AF44D3D" w14:textId="77777777" w:rsidR="004B2397" w:rsidRPr="004B2397" w:rsidRDefault="004B2397" w:rsidP="004B2397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图表说明：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本研究的核心框架，展示了从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数据输入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、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特征分类与分析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到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模型构建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与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系统推荐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的全流程技术路线，涵盖了三个核心研究内容。</w:t>
      </w:r>
    </w:p>
    <w:p w14:paraId="09442648" w14:textId="77777777" w:rsidR="004B2397" w:rsidRPr="004B2397" w:rsidRDefault="004B2397" w:rsidP="004B2397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 xml:space="preserve">2.1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核心研究环节</w:t>
      </w:r>
    </w:p>
    <w:p w14:paraId="167D5B38" w14:textId="77777777" w:rsidR="004B2397" w:rsidRPr="004B2397" w:rsidRDefault="004B2397" w:rsidP="004B2397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数据输入与预处理：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收集和整合多源异构数据，包括电力消费数据、能源消耗数据、生产工艺数据等。通过数据清洗、</w:t>
      </w:r>
      <w:proofErr w:type="gram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缺失值</w:t>
      </w:r>
      <w:proofErr w:type="gramEnd"/>
      <w:r w:rsidRPr="004B2397">
        <w:rPr>
          <w:rFonts w:ascii="Segoe UI" w:eastAsia="宋体" w:hAnsi="Segoe UI" w:cs="Segoe UI"/>
          <w:color w:val="000000"/>
          <w:kern w:val="0"/>
          <w:szCs w:val="21"/>
        </w:rPr>
        <w:t>处理、异常值检测与标准化，确保数据质量。</w:t>
      </w:r>
    </w:p>
    <w:p w14:paraId="62213C9F" w14:textId="77777777" w:rsidR="004B2397" w:rsidRPr="004B2397" w:rsidRDefault="004B2397" w:rsidP="004B2397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特征分类与提取：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采用主成分分析、随机森林等统计与机器学习方法，识别影响碳排放的关键特征变量（如单位产值能耗、动态排放因子）。</w:t>
      </w:r>
    </w:p>
    <w:p w14:paraId="301F9254" w14:textId="77777777" w:rsidR="004B2397" w:rsidRPr="004B2397" w:rsidRDefault="004B2397" w:rsidP="004B2397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模型构建与优化：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构建物理模型、数据驱动模型以及混合模型。针对钢铁、火电、水泥等重点行业的生产工艺特点，建立差异化的电碳耦合监测模型，并通过验证持续优化。</w:t>
      </w:r>
    </w:p>
    <w:p w14:paraId="463D6FF1" w14:textId="77777777" w:rsidR="004B2397" w:rsidRPr="004B2397" w:rsidRDefault="004B2397" w:rsidP="004B2397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系统推荐与应用：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开发智能化的模型推荐系统，根据不同应用场景和数据条件，自动选择最优监测模型，为政府监管、</w:t>
      </w:r>
      <w:proofErr w:type="gram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碳市场</w:t>
      </w:r>
      <w:proofErr w:type="gramEnd"/>
      <w:r w:rsidRPr="004B2397">
        <w:rPr>
          <w:rFonts w:ascii="Segoe UI" w:eastAsia="宋体" w:hAnsi="Segoe UI" w:cs="Segoe UI"/>
          <w:color w:val="000000"/>
          <w:kern w:val="0"/>
          <w:szCs w:val="21"/>
        </w:rPr>
        <w:t>交易与企业减</w:t>
      </w:r>
      <w:proofErr w:type="gram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排决策</w:t>
      </w:r>
      <w:proofErr w:type="gramEnd"/>
      <w:r w:rsidRPr="004B2397">
        <w:rPr>
          <w:rFonts w:ascii="Segoe UI" w:eastAsia="宋体" w:hAnsi="Segoe UI" w:cs="Segoe UI"/>
          <w:color w:val="000000"/>
          <w:kern w:val="0"/>
          <w:szCs w:val="21"/>
        </w:rPr>
        <w:t>提供支持。</w:t>
      </w:r>
    </w:p>
    <w:p w14:paraId="3DFC38B5" w14:textId="77777777" w:rsidR="004B2397" w:rsidRPr="004B2397" w:rsidRDefault="004B2397" w:rsidP="004B2397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>第三章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 xml:space="preserve">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>研究内容：典型行业监测模型构建</w:t>
      </w:r>
    </w:p>
    <w:p w14:paraId="10184E86" w14:textId="77777777" w:rsidR="004B2397" w:rsidRPr="004B2397" w:rsidRDefault="004B2397" w:rsidP="004B2397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 xml:space="preserve">3.1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钢铁行业碳排放监测</w:t>
      </w:r>
    </w:p>
    <w:p w14:paraId="0F892B32" w14:textId="77777777" w:rsidR="004B2397" w:rsidRPr="004B2397" w:rsidRDefault="004B2397" w:rsidP="004B2397">
      <w:pPr>
        <w:widowControl/>
        <w:shd w:val="clear" w:color="auto" w:fill="FFFFFF"/>
        <w:spacing w:before="31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（此处应插入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PPT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4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页的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钢铁厂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模型图）</w:t>
      </w:r>
    </w:p>
    <w:p w14:paraId="1C4ADFB4" w14:textId="77777777" w:rsidR="004B2397" w:rsidRPr="004B2397" w:rsidRDefault="004B2397" w:rsidP="004B2397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lastRenderedPageBreak/>
        <w:t>图表说明：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钢铁行业电碳监测模型示意图，展示了从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工艺流程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（烧结、炼铁、炼钢、轧钢）到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碳元素流程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分析，最终构建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物理模型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与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统计模型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的综合建模方法。</w:t>
      </w:r>
    </w:p>
    <w:p w14:paraId="7F74BB40" w14:textId="77777777" w:rsidR="004B2397" w:rsidRPr="004B2397" w:rsidRDefault="004B2397" w:rsidP="004B2397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工艺流程分析：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深入分析烧结、炼铁、炼钢、轧钢等关键工序的能源消耗与碳排放特征。炼铁工序是能耗与碳排放的主要环节，约占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70%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以上。</w:t>
      </w:r>
    </w:p>
    <w:p w14:paraId="3C4095AA" w14:textId="77777777" w:rsidR="004B2397" w:rsidRPr="004B2397" w:rsidRDefault="004B2397" w:rsidP="004B2397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碳元素流程分析：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基于物质平衡原理，建立碳元素在输入（矿石、燃料）、转化和输出（产品、排放、废弃物）中的流向模型。</w:t>
      </w:r>
    </w:p>
    <w:p w14:paraId="14BA67B6" w14:textId="77777777" w:rsidR="004B2397" w:rsidRPr="004B2397" w:rsidRDefault="004B2397" w:rsidP="004B2397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电碳模型构建：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建立钢铁行业电碳耦合模型，揭示各工序电力消耗与碳排放量的定量关系，并考虑生产工艺、设备效率等多重因素。</w:t>
      </w:r>
    </w:p>
    <w:p w14:paraId="4E29797F" w14:textId="77777777" w:rsidR="004B2397" w:rsidRPr="004B2397" w:rsidRDefault="004B2397" w:rsidP="004B2397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 xml:space="preserve">3.2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火电行业碳排放监测</w:t>
      </w:r>
    </w:p>
    <w:p w14:paraId="2826E8CF" w14:textId="77777777" w:rsidR="004B2397" w:rsidRPr="004B2397" w:rsidRDefault="004B2397" w:rsidP="004B2397">
      <w:pPr>
        <w:widowControl/>
        <w:shd w:val="clear" w:color="auto" w:fill="FFFFFF"/>
        <w:spacing w:before="31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（此处应插入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PPT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5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页的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火电厂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模型图）</w:t>
      </w:r>
    </w:p>
    <w:p w14:paraId="77BE27B6" w14:textId="77777777" w:rsidR="004B2397" w:rsidRPr="004B2397" w:rsidRDefault="004B2397" w:rsidP="004B2397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图表说明：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火电行业电碳监测模型示意图，集成了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工艺流程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（燃料供应、锅炉燃烧、汽轮发电）、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物理模型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与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实时监测系统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，实现对碳排放因子的精准计算与动态监测。</w:t>
      </w:r>
    </w:p>
    <w:p w14:paraId="55065B24" w14:textId="77777777" w:rsidR="004B2397" w:rsidRPr="004B2397" w:rsidRDefault="004B2397" w:rsidP="004B2397">
      <w:pPr>
        <w:widowControl/>
        <w:numPr>
          <w:ilvl w:val="0"/>
          <w:numId w:val="6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工艺流程分析：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梳理燃料供应、锅炉燃烧、汽轮机发电等主要环节，锅炉效率是影响碳排放的关键。</w:t>
      </w:r>
    </w:p>
    <w:p w14:paraId="6FE34ED0" w14:textId="77777777" w:rsidR="004B2397" w:rsidRPr="004B2397" w:rsidRDefault="004B2397" w:rsidP="004B2397">
      <w:pPr>
        <w:widowControl/>
        <w:numPr>
          <w:ilvl w:val="0"/>
          <w:numId w:val="6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碳排放因子计算：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基于实测数据和理论计算，确定不同煤种在特定燃烧效率与环保设施下的动态碳排放因子。</w:t>
      </w:r>
    </w:p>
    <w:p w14:paraId="7E53807D" w14:textId="77777777" w:rsidR="004B2397" w:rsidRPr="004B2397" w:rsidRDefault="004B2397" w:rsidP="004B2397">
      <w:pPr>
        <w:widowControl/>
        <w:numPr>
          <w:ilvl w:val="0"/>
          <w:numId w:val="6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实时监测系统：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开发集成多种传感器的实时监测系统，实现碳排放的动态监测与预警。</w:t>
      </w:r>
    </w:p>
    <w:p w14:paraId="64753039" w14:textId="77777777" w:rsidR="004B2397" w:rsidRPr="004B2397" w:rsidRDefault="004B2397" w:rsidP="004B2397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 xml:space="preserve">3.3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水泥行业碳排放监测</w:t>
      </w:r>
    </w:p>
    <w:p w14:paraId="7EC7DB70" w14:textId="77777777" w:rsidR="004B2397" w:rsidRPr="004B2397" w:rsidRDefault="004B2397" w:rsidP="004B2397">
      <w:pPr>
        <w:widowControl/>
        <w:shd w:val="clear" w:color="auto" w:fill="FFFFFF"/>
        <w:spacing w:before="31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（此处应插入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PPT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6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页的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水泥厂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模型图）</w:t>
      </w:r>
    </w:p>
    <w:p w14:paraId="543A44A2" w14:textId="77777777" w:rsidR="004B2397" w:rsidRPr="004B2397" w:rsidRDefault="004B2397" w:rsidP="004B2397">
      <w:pPr>
        <w:widowControl/>
        <w:numPr>
          <w:ilvl w:val="0"/>
          <w:numId w:val="7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图表说明：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水泥行业电碳监测模型示意图，重点展示了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工艺流程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（生料制备、熟料煅烧、水泥粉磨）与独特的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碳排放构成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（工艺排放、燃料排放、间接排放），并据此构建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物理模型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14:paraId="5A67D8E3" w14:textId="77777777" w:rsidR="004B2397" w:rsidRPr="004B2397" w:rsidRDefault="004B2397" w:rsidP="004B2397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工艺流程分析：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重点研究生料制备、熟料煅烧和水泥粉磨三个阶段。熟料煅烧是能源消耗和</w:t>
      </w:r>
      <w:proofErr w:type="gram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碳排放</w:t>
      </w:r>
      <w:proofErr w:type="gramEnd"/>
      <w:r w:rsidRPr="004B2397">
        <w:rPr>
          <w:rFonts w:ascii="Segoe UI" w:eastAsia="宋体" w:hAnsi="Segoe UI" w:cs="Segoe UI"/>
          <w:color w:val="000000"/>
          <w:kern w:val="0"/>
          <w:szCs w:val="21"/>
        </w:rPr>
        <w:t>的主要环节。</w:t>
      </w:r>
    </w:p>
    <w:p w14:paraId="5CF854BB" w14:textId="77777777" w:rsidR="004B2397" w:rsidRPr="004B2397" w:rsidRDefault="004B2397" w:rsidP="004B2397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碳排放构成分析：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碳排放主要来源于三部分：</w:t>
      </w:r>
    </w:p>
    <w:p w14:paraId="3DD762B9" w14:textId="77777777" w:rsidR="004B2397" w:rsidRPr="004B2397" w:rsidRDefault="004B2397" w:rsidP="004B2397">
      <w:pPr>
        <w:widowControl/>
        <w:numPr>
          <w:ilvl w:val="1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原料分解排放（约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61.10%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）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：石灰石（</w:t>
      </w:r>
      <w:proofErr w:type="spell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CaCO</w:t>
      </w:r>
      <w:proofErr w:type="spellEnd"/>
      <w:r w:rsidRPr="004B2397">
        <w:rPr>
          <w:rFonts w:ascii="Segoe UI" w:eastAsia="宋体" w:hAnsi="Segoe UI" w:cs="Segoe UI"/>
          <w:color w:val="000000"/>
          <w:kern w:val="0"/>
          <w:szCs w:val="21"/>
        </w:rPr>
        <w:t>₃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）分解产生，是水泥行业特有的工艺排放。</w:t>
      </w:r>
    </w:p>
    <w:p w14:paraId="0AF3366A" w14:textId="77777777" w:rsidR="004B2397" w:rsidRPr="004B2397" w:rsidRDefault="004B2397" w:rsidP="004B2397">
      <w:pPr>
        <w:widowControl/>
        <w:numPr>
          <w:ilvl w:val="1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燃料燃烧排放（约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35.12%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）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：为回转窑提供热量产生的排放。</w:t>
      </w:r>
    </w:p>
    <w:p w14:paraId="2F7B46DE" w14:textId="77777777" w:rsidR="004B2397" w:rsidRPr="004B2397" w:rsidRDefault="004B2397" w:rsidP="004B2397">
      <w:pPr>
        <w:widowControl/>
        <w:numPr>
          <w:ilvl w:val="1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电力消耗间接排放（约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3.78%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）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：生产过程中耗电产生的间接排放。</w:t>
      </w:r>
    </w:p>
    <w:p w14:paraId="275A7BA1" w14:textId="77777777" w:rsidR="004B2397" w:rsidRPr="004B2397" w:rsidRDefault="004B2397" w:rsidP="004B2397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模型构建：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针对其独特的碳排放构成，构建融合工艺知识的电碳耦合监测模型。</w:t>
      </w:r>
    </w:p>
    <w:p w14:paraId="5545A62E" w14:textId="77777777" w:rsidR="004B2397" w:rsidRPr="004B2397" w:rsidRDefault="004B2397" w:rsidP="004B2397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>第四章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 xml:space="preserve">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>研究结果</w:t>
      </w:r>
    </w:p>
    <w:p w14:paraId="6C05129E" w14:textId="77777777" w:rsidR="004B2397" w:rsidRPr="004B2397" w:rsidRDefault="004B2397" w:rsidP="004B2397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 xml:space="preserve">4.1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钢铁行业负荷分析</w:t>
      </w:r>
    </w:p>
    <w:p w14:paraId="19A8246C" w14:textId="77777777" w:rsidR="004B2397" w:rsidRPr="004B2397" w:rsidRDefault="004B2397" w:rsidP="004B2397">
      <w:pPr>
        <w:widowControl/>
        <w:shd w:val="clear" w:color="auto" w:fill="FFFFFF"/>
        <w:spacing w:before="31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通过对典型钢铁企业连续监测数据的分析，揭示了其用电与碳排放的规律：</w:t>
      </w:r>
    </w:p>
    <w:p w14:paraId="628A01CC" w14:textId="77777777" w:rsidR="004B2397" w:rsidRPr="004B2397" w:rsidRDefault="004B2397" w:rsidP="004B2397">
      <w:pPr>
        <w:widowControl/>
        <w:numPr>
          <w:ilvl w:val="0"/>
          <w:numId w:val="9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日平均负荷趋势：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工作日平均负荷（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154.3MW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）显著高于周末（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127.5MW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），差异达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21.0%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14:paraId="6373E2A6" w14:textId="77777777" w:rsidR="004B2397" w:rsidRPr="004B2397" w:rsidRDefault="004B2397" w:rsidP="004B2397">
      <w:pPr>
        <w:widowControl/>
        <w:numPr>
          <w:ilvl w:val="0"/>
          <w:numId w:val="9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lastRenderedPageBreak/>
        <w:t>小时平均负荷对比：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呈现双峰特征，第一峰值在凌晨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2-4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点（约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180MW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），第二峰值在晚上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20-22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点（约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170MW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），这与低谷电价政策下的调峰运行模式密切相关。</w:t>
      </w:r>
    </w:p>
    <w:p w14:paraId="6FCAD796" w14:textId="77777777" w:rsidR="004B2397" w:rsidRPr="004B2397" w:rsidRDefault="004B2397" w:rsidP="004B2397">
      <w:pPr>
        <w:widowControl/>
        <w:numPr>
          <w:ilvl w:val="0"/>
          <w:numId w:val="9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负荷统计特征：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月平均负荷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372.5MW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，波动较大（标准差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106.6MW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），反映了生产复杂性，也为电网调峰提供了灵活性。</w:t>
      </w:r>
    </w:p>
    <w:p w14:paraId="53BD9B2A" w14:textId="77777777" w:rsidR="004B2397" w:rsidRPr="004B2397" w:rsidRDefault="004B2397" w:rsidP="004B2397">
      <w:pPr>
        <w:widowControl/>
        <w:shd w:val="clear" w:color="auto" w:fill="FFFFFF"/>
        <w:spacing w:before="31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（此处应插入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PPT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8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页的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钢铁行业典型功率曲线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图）</w:t>
      </w:r>
    </w:p>
    <w:p w14:paraId="2BF675E6" w14:textId="77777777" w:rsidR="004B2397" w:rsidRPr="004B2397" w:rsidRDefault="004B2397" w:rsidP="004B2397">
      <w:pPr>
        <w:widowControl/>
        <w:numPr>
          <w:ilvl w:val="0"/>
          <w:numId w:val="10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图表说明：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钢铁企业典型日功率曲线，清晰展示了其在工作日与周末的负荷差异，以及夜</w:t>
      </w:r>
      <w:proofErr w:type="gram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高昼低的</w:t>
      </w:r>
      <w:proofErr w:type="gramEnd"/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调峰运行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特征。</w:t>
      </w:r>
    </w:p>
    <w:p w14:paraId="2915B1A7" w14:textId="77777777" w:rsidR="004B2397" w:rsidRPr="004B2397" w:rsidRDefault="004B2397" w:rsidP="004B2397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 xml:space="preserve">4.2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模型精度验证</w:t>
      </w:r>
    </w:p>
    <w:p w14:paraId="404D16E1" w14:textId="77777777" w:rsidR="004B2397" w:rsidRPr="004B2397" w:rsidRDefault="004B2397" w:rsidP="004B2397">
      <w:pPr>
        <w:widowControl/>
        <w:shd w:val="clear" w:color="auto" w:fill="FFFFFF"/>
        <w:spacing w:before="31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对构建的碳排放监测模型进行了全面验证，结果如下：</w:t>
      </w:r>
    </w:p>
    <w:p w14:paraId="68738CF4" w14:textId="77777777" w:rsidR="004B2397" w:rsidRPr="004B2397" w:rsidRDefault="004B2397" w:rsidP="004B2397">
      <w:pPr>
        <w:widowControl/>
        <w:numPr>
          <w:ilvl w:val="0"/>
          <w:numId w:val="11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整体精度高：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平均绝对百分比误差（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MAPE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）为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1.8%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，决定系数（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R²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）达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0.96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，表明模型预测精度可靠。</w:t>
      </w:r>
    </w:p>
    <w:p w14:paraId="33F356F7" w14:textId="77777777" w:rsidR="004B2397" w:rsidRPr="004B2397" w:rsidRDefault="004B2397" w:rsidP="004B2397">
      <w:pPr>
        <w:widowControl/>
        <w:numPr>
          <w:ilvl w:val="0"/>
          <w:numId w:val="11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行业对比：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钢铁行业模型精度最高（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MAPE=1.5%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），火电与水泥行业次之（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MAPE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分别为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2.1%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2.3%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）。</w:t>
      </w:r>
    </w:p>
    <w:p w14:paraId="195C11E8" w14:textId="77777777" w:rsidR="004B2397" w:rsidRPr="004B2397" w:rsidRDefault="004B2397" w:rsidP="004B2397">
      <w:pPr>
        <w:widowControl/>
        <w:numPr>
          <w:ilvl w:val="0"/>
          <w:numId w:val="11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时间尺度验证：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随着时间尺度增大，精度逐步提高（</w:t>
      </w:r>
      <w:proofErr w:type="gram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小时级</w:t>
      </w:r>
      <w:proofErr w:type="gramEnd"/>
      <w:r w:rsidRPr="004B2397">
        <w:rPr>
          <w:rFonts w:ascii="Segoe UI" w:eastAsia="宋体" w:hAnsi="Segoe UI" w:cs="Segoe UI"/>
          <w:color w:val="000000"/>
          <w:kern w:val="0"/>
          <w:szCs w:val="21"/>
        </w:rPr>
        <w:t>MAPE=2.8%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，</w:t>
      </w:r>
      <w:proofErr w:type="gram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月级</w:t>
      </w:r>
      <w:proofErr w:type="gramEnd"/>
      <w:r w:rsidRPr="004B2397">
        <w:rPr>
          <w:rFonts w:ascii="Segoe UI" w:eastAsia="宋体" w:hAnsi="Segoe UI" w:cs="Segoe UI"/>
          <w:color w:val="000000"/>
          <w:kern w:val="0"/>
          <w:szCs w:val="21"/>
        </w:rPr>
        <w:t>MAPE=1.2%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），满足不同颗粒度的监测需求。</w:t>
      </w:r>
    </w:p>
    <w:p w14:paraId="7C27B264" w14:textId="77777777" w:rsidR="004F3329" w:rsidRDefault="009874D5">
      <w:r>
        <w:t>补充说明：不同的行业具有不同的负载特性、物理模型及工艺流程，其工作时间和模式各异。部分行业在工作日与周末呈现明显的周期性功率波动，这种特征有助于通过功率曲线识别设备运行状态。钢铁行业因高耗能特性需开展调峰运行以降低成本与电网压力，研究表明其夜间负荷显著高于白天，且周末夜间负荷低于工作日，显示出典型的周期性运行模式。</w:t>
      </w:r>
    </w:p>
    <w:p w14:paraId="19F3A09D" w14:textId="77777777" w:rsidR="004B2397" w:rsidRPr="004B2397" w:rsidRDefault="004B2397" w:rsidP="004B2397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>第五章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 xml:space="preserve">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>结果分析与展望</w:t>
      </w:r>
    </w:p>
    <w:p w14:paraId="32656B4C" w14:textId="77777777" w:rsidR="004B2397" w:rsidRPr="004B2397" w:rsidRDefault="004B2397" w:rsidP="004B2397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 xml:space="preserve">5.1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结果分析</w:t>
      </w:r>
    </w:p>
    <w:p w14:paraId="77D2084A" w14:textId="77777777" w:rsidR="004B2397" w:rsidRPr="004B2397" w:rsidRDefault="004B2397" w:rsidP="004B2397">
      <w:pPr>
        <w:widowControl/>
        <w:shd w:val="clear" w:color="auto" w:fill="FFFFFF"/>
        <w:spacing w:before="31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（此处应整合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PPT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9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页的分析内容）</w:t>
      </w:r>
    </w:p>
    <w:p w14:paraId="4F94FC3D" w14:textId="77777777" w:rsidR="004B2397" w:rsidRPr="004B2397" w:rsidRDefault="004B2397" w:rsidP="009874D5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核心结论：</w:t>
      </w:r>
    </w:p>
    <w:p w14:paraId="219D85A8" w14:textId="77777777" w:rsidR="004B2397" w:rsidRPr="004B2397" w:rsidRDefault="004B2397" w:rsidP="004B2397">
      <w:pPr>
        <w:widowControl/>
        <w:numPr>
          <w:ilvl w:val="1"/>
          <w:numId w:val="12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行业特性各异：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不同行业具有不同的负载特性、运行模式和周期性特征。钢铁行业呈现明显的调峰运行特征，其功率曲线可用于设备状态识别。</w:t>
      </w:r>
    </w:p>
    <w:p w14:paraId="331D3B2D" w14:textId="77777777" w:rsidR="004B2397" w:rsidRPr="004B2397" w:rsidRDefault="004B2397" w:rsidP="004B2397">
      <w:pPr>
        <w:widowControl/>
        <w:numPr>
          <w:ilvl w:val="1"/>
          <w:numId w:val="12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调峰策略明确：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钢铁行业深夜高负荷、白天低负荷的运行模式，既降低了生产成本，也为电网调峰提供了支持。数据分析表明，其工作日夜间用电负荷显著高于周末。</w:t>
      </w:r>
    </w:p>
    <w:p w14:paraId="0373E938" w14:textId="77777777" w:rsidR="004B2397" w:rsidRPr="004B2397" w:rsidRDefault="004B2397" w:rsidP="004B2397">
      <w:pPr>
        <w:widowControl/>
        <w:numPr>
          <w:ilvl w:val="1"/>
          <w:numId w:val="12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模型适用性广：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所构建的监测模型具备高时空分辨率（小时级）、多行业适配性和强实时性，能够满足精细化</w:t>
      </w:r>
      <w:proofErr w:type="gram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碳管理</w:t>
      </w:r>
      <w:proofErr w:type="gramEnd"/>
      <w:r w:rsidRPr="004B2397">
        <w:rPr>
          <w:rFonts w:ascii="Segoe UI" w:eastAsia="宋体" w:hAnsi="Segoe UI" w:cs="Segoe UI"/>
          <w:color w:val="000000"/>
          <w:kern w:val="0"/>
          <w:szCs w:val="21"/>
        </w:rPr>
        <w:t>的需求。</w:t>
      </w:r>
    </w:p>
    <w:p w14:paraId="10C6C1D8" w14:textId="77777777" w:rsidR="004B2397" w:rsidRPr="004B2397" w:rsidRDefault="004B2397" w:rsidP="004B2397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 xml:space="preserve">5.2 </w:t>
      </w: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政策建议与展望</w:t>
      </w:r>
    </w:p>
    <w:p w14:paraId="34072D4C" w14:textId="77777777" w:rsidR="004B2397" w:rsidRPr="004B2397" w:rsidRDefault="004B2397" w:rsidP="004B2397">
      <w:pPr>
        <w:widowControl/>
        <w:numPr>
          <w:ilvl w:val="0"/>
          <w:numId w:val="13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政策建议：</w:t>
      </w:r>
    </w:p>
    <w:p w14:paraId="12618E6F" w14:textId="77777777" w:rsidR="004B2397" w:rsidRPr="004B2397" w:rsidRDefault="004B2397" w:rsidP="004B2397">
      <w:pPr>
        <w:widowControl/>
        <w:numPr>
          <w:ilvl w:val="1"/>
          <w:numId w:val="13"/>
        </w:numPr>
        <w:shd w:val="clear" w:color="auto" w:fill="FFFFFF"/>
        <w:spacing w:after="12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完善碳排放监测体系与标准。</w:t>
      </w:r>
    </w:p>
    <w:p w14:paraId="43A1F94A" w14:textId="77777777" w:rsidR="004B2397" w:rsidRPr="004B2397" w:rsidRDefault="004B2397" w:rsidP="004B2397">
      <w:pPr>
        <w:widowControl/>
        <w:numPr>
          <w:ilvl w:val="1"/>
          <w:numId w:val="13"/>
        </w:numPr>
        <w:shd w:val="clear" w:color="auto" w:fill="FFFFFF"/>
        <w:spacing w:after="12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优化峰谷电价机制，激励企业参与调峰。</w:t>
      </w:r>
    </w:p>
    <w:p w14:paraId="37E551DE" w14:textId="77777777" w:rsidR="004B2397" w:rsidRPr="004B2397" w:rsidRDefault="004B2397" w:rsidP="004B2397">
      <w:pPr>
        <w:widowControl/>
        <w:numPr>
          <w:ilvl w:val="1"/>
          <w:numId w:val="13"/>
        </w:numPr>
        <w:shd w:val="clear" w:color="auto" w:fill="FFFFFF"/>
        <w:spacing w:after="12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建立基于监测数据的碳排放激励约束机制。</w:t>
      </w:r>
    </w:p>
    <w:p w14:paraId="73827E26" w14:textId="77777777" w:rsidR="004B2397" w:rsidRPr="004B2397" w:rsidRDefault="004B2397" w:rsidP="004B2397">
      <w:pPr>
        <w:widowControl/>
        <w:numPr>
          <w:ilvl w:val="0"/>
          <w:numId w:val="13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发展展望：</w:t>
      </w:r>
    </w:p>
    <w:p w14:paraId="702E6319" w14:textId="77777777" w:rsidR="004B2397" w:rsidRPr="004B2397" w:rsidRDefault="004B2397" w:rsidP="004B2397">
      <w:pPr>
        <w:widowControl/>
        <w:numPr>
          <w:ilvl w:val="1"/>
          <w:numId w:val="13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智能化升级：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与人工智能、大数据技术深度融合。</w:t>
      </w:r>
    </w:p>
    <w:p w14:paraId="3E9CBA7B" w14:textId="77777777" w:rsidR="004B2397" w:rsidRPr="004B2397" w:rsidRDefault="004B2397" w:rsidP="004B2397">
      <w:pPr>
        <w:widowControl/>
        <w:numPr>
          <w:ilvl w:val="1"/>
          <w:numId w:val="13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t>多维度扩展：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从</w:t>
      </w:r>
      <w:proofErr w:type="gram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监测向碳足迹</w:t>
      </w:r>
      <w:proofErr w:type="gramEnd"/>
      <w:r w:rsidRPr="004B2397">
        <w:rPr>
          <w:rFonts w:ascii="Segoe UI" w:eastAsia="宋体" w:hAnsi="Segoe UI" w:cs="Segoe UI"/>
          <w:color w:val="000000"/>
          <w:kern w:val="0"/>
          <w:szCs w:val="21"/>
        </w:rPr>
        <w:t>、碳中和路径管理等维度拓展。</w:t>
      </w:r>
    </w:p>
    <w:p w14:paraId="1DAAD907" w14:textId="77777777" w:rsidR="004B2397" w:rsidRPr="004B2397" w:rsidRDefault="004B2397" w:rsidP="004B2397">
      <w:pPr>
        <w:widowControl/>
        <w:numPr>
          <w:ilvl w:val="1"/>
          <w:numId w:val="13"/>
        </w:numPr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Cs w:val="21"/>
        </w:rPr>
        <w:lastRenderedPageBreak/>
        <w:t>产业化与国际化：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推动技术产业化，积极参与国际标准制定。</w:t>
      </w:r>
    </w:p>
    <w:p w14:paraId="3E549AF0" w14:textId="77777777" w:rsidR="004B2397" w:rsidRPr="004B2397" w:rsidRDefault="004B2397" w:rsidP="004B2397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</w:pPr>
      <w:r w:rsidRPr="004B2397">
        <w:rPr>
          <w:rFonts w:ascii="Segoe UI" w:eastAsia="宋体" w:hAnsi="Segoe UI" w:cs="Segoe UI"/>
          <w:b/>
          <w:bCs/>
          <w:color w:val="000000"/>
          <w:kern w:val="0"/>
          <w:sz w:val="29"/>
          <w:szCs w:val="29"/>
        </w:rPr>
        <w:t>结论</w:t>
      </w:r>
    </w:p>
    <w:p w14:paraId="4EC8C845" w14:textId="77777777" w:rsidR="004B2397" w:rsidRPr="004B2397" w:rsidRDefault="004B2397" w:rsidP="004B2397">
      <w:pPr>
        <w:widowControl/>
        <w:shd w:val="clear" w:color="auto" w:fill="FFFFFF"/>
        <w:spacing w:before="312" w:after="75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B2397">
        <w:rPr>
          <w:rFonts w:ascii="Segoe UI" w:eastAsia="宋体" w:hAnsi="Segoe UI" w:cs="Segoe UI"/>
          <w:color w:val="000000"/>
          <w:kern w:val="0"/>
          <w:szCs w:val="21"/>
        </w:rPr>
        <w:t>本研究成功构建了基于电碳耦合的能源消费碳排放监测技术体系，建立了覆盖钢铁、火电、水泥等重点行业的高精度监测模型（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MAPE&lt;2%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），揭示了各行业的碳排放规律与调峰特性。研究成果为政府精准决策、</w:t>
      </w:r>
      <w:proofErr w:type="gram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碳市场</w:t>
      </w:r>
      <w:proofErr w:type="gramEnd"/>
      <w:r w:rsidRPr="004B2397">
        <w:rPr>
          <w:rFonts w:ascii="Segoe UI" w:eastAsia="宋体" w:hAnsi="Segoe UI" w:cs="Segoe UI"/>
          <w:color w:val="000000"/>
          <w:kern w:val="0"/>
          <w:szCs w:val="21"/>
        </w:rPr>
        <w:t>有效运行和企业精细</w:t>
      </w:r>
      <w:proofErr w:type="gramStart"/>
      <w:r w:rsidRPr="004B2397">
        <w:rPr>
          <w:rFonts w:ascii="Segoe UI" w:eastAsia="宋体" w:hAnsi="Segoe UI" w:cs="Segoe UI"/>
          <w:color w:val="000000"/>
          <w:kern w:val="0"/>
          <w:szCs w:val="21"/>
        </w:rPr>
        <w:t>化减排提供</w:t>
      </w:r>
      <w:proofErr w:type="gramEnd"/>
      <w:r w:rsidRPr="004B2397">
        <w:rPr>
          <w:rFonts w:ascii="Segoe UI" w:eastAsia="宋体" w:hAnsi="Segoe UI" w:cs="Segoe UI"/>
          <w:color w:val="000000"/>
          <w:kern w:val="0"/>
          <w:szCs w:val="21"/>
        </w:rPr>
        <w:t>了关键技术支撑，对实现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“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双碳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”</w:t>
      </w:r>
      <w:r w:rsidRPr="004B2397">
        <w:rPr>
          <w:rFonts w:ascii="Segoe UI" w:eastAsia="宋体" w:hAnsi="Segoe UI" w:cs="Segoe UI"/>
          <w:color w:val="000000"/>
          <w:kern w:val="0"/>
          <w:szCs w:val="21"/>
        </w:rPr>
        <w:t>目标具有重要意义。</w:t>
      </w:r>
    </w:p>
    <w:p w14:paraId="07B7EC2A" w14:textId="77777777" w:rsidR="00862DA5" w:rsidRPr="004B2397" w:rsidRDefault="00862DA5"/>
    <w:sectPr w:rsidR="00862DA5" w:rsidRPr="004B2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84F"/>
    <w:multiLevelType w:val="multilevel"/>
    <w:tmpl w:val="AB1C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362B"/>
    <w:multiLevelType w:val="multilevel"/>
    <w:tmpl w:val="B07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56DAE"/>
    <w:multiLevelType w:val="multilevel"/>
    <w:tmpl w:val="008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62C12"/>
    <w:multiLevelType w:val="multilevel"/>
    <w:tmpl w:val="CFE6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97487"/>
    <w:multiLevelType w:val="multilevel"/>
    <w:tmpl w:val="4194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A7758"/>
    <w:multiLevelType w:val="multilevel"/>
    <w:tmpl w:val="9210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2307A"/>
    <w:multiLevelType w:val="multilevel"/>
    <w:tmpl w:val="DF68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D5A0A"/>
    <w:multiLevelType w:val="multilevel"/>
    <w:tmpl w:val="E816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879A8"/>
    <w:multiLevelType w:val="multilevel"/>
    <w:tmpl w:val="086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504F1"/>
    <w:multiLevelType w:val="multilevel"/>
    <w:tmpl w:val="8DAE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408CD"/>
    <w:multiLevelType w:val="multilevel"/>
    <w:tmpl w:val="C890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737EE"/>
    <w:multiLevelType w:val="multilevel"/>
    <w:tmpl w:val="CA3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F69E5"/>
    <w:multiLevelType w:val="multilevel"/>
    <w:tmpl w:val="7D32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2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02"/>
    <w:rsid w:val="0011026A"/>
    <w:rsid w:val="00244BDF"/>
    <w:rsid w:val="004B2397"/>
    <w:rsid w:val="004F3329"/>
    <w:rsid w:val="00527940"/>
    <w:rsid w:val="005E4758"/>
    <w:rsid w:val="007712DA"/>
    <w:rsid w:val="00833E02"/>
    <w:rsid w:val="00862DA5"/>
    <w:rsid w:val="0098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70EF"/>
  <w15:chartTrackingRefBased/>
  <w15:docId w15:val="{DE40C4C0-AB2B-4EA3-8BF4-0176FAA3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永奇 鲍</dc:creator>
  <cp:keywords/>
  <dc:description/>
  <cp:lastModifiedBy>永奇 鲍</cp:lastModifiedBy>
  <cp:revision>3</cp:revision>
  <dcterms:created xsi:type="dcterms:W3CDTF">2025-10-02T03:10:00Z</dcterms:created>
  <dcterms:modified xsi:type="dcterms:W3CDTF">2025-10-02T03:22:00Z</dcterms:modified>
</cp:coreProperties>
</file>