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23CA4" w14:textId="77777777" w:rsidR="00BA762F" w:rsidRDefault="00000000">
      <w:pPr>
        <w:pStyle w:val="1"/>
        <w:jc w:val="center"/>
        <w:rPr>
          <w:rFonts w:ascii="方正小标宋_GBK" w:eastAsia="方正小标宋_GBK" w:hAnsi="方正小标宋_GBK" w:cs="方正小标宋_GBK"/>
          <w:sz w:val="44"/>
          <w:szCs w:val="44"/>
        </w:rPr>
      </w:pPr>
      <w:r>
        <w:rPr>
          <w:rFonts w:ascii="方正小标宋_GBK" w:eastAsia="方正小标宋_GBK" w:hAnsi="方正小标宋_GBK" w:cs="方正小标宋_GBK" w:hint="eastAsia"/>
          <w:sz w:val="44"/>
          <w:szCs w:val="44"/>
          <w:lang w:eastAsia="zh"/>
        </w:rPr>
        <w:t>接入方案业务规则说明书</w:t>
      </w:r>
      <w:r>
        <w:rPr>
          <w:rFonts w:ascii="方正小标宋_GBK" w:eastAsia="方正小标宋_GBK" w:hAnsi="方正小标宋_GBK" w:cs="方正小标宋_GBK" w:hint="eastAsia"/>
          <w:sz w:val="44"/>
          <w:szCs w:val="44"/>
        </w:rPr>
        <w:t>（高压10kV)</w:t>
      </w:r>
    </w:p>
    <w:p w14:paraId="23BD2291" w14:textId="77777777" w:rsidR="00BA762F" w:rsidRDefault="00000000">
      <w:pPr>
        <w:pStyle w:val="2"/>
        <w:spacing w:before="0" w:after="0" w:line="560" w:lineRule="exact"/>
        <w:ind w:firstLineChars="200" w:firstLine="640"/>
        <w:rPr>
          <w:rFonts w:ascii="黑体" w:eastAsia="黑体" w:hAnsi="黑体" w:cs="黑体"/>
          <w:b w:val="0"/>
          <w:bCs/>
          <w:lang w:eastAsia="zh"/>
        </w:rPr>
      </w:pPr>
      <w:r>
        <w:rPr>
          <w:rFonts w:ascii="黑体" w:eastAsia="黑体" w:hAnsi="黑体" w:cs="黑体" w:hint="eastAsia"/>
          <w:b w:val="0"/>
          <w:bCs/>
        </w:rPr>
        <w:t>一、</w:t>
      </w:r>
      <w:r>
        <w:rPr>
          <w:rFonts w:ascii="黑体" w:eastAsia="黑体" w:hAnsi="黑体" w:cs="黑体" w:hint="eastAsia"/>
          <w:b w:val="0"/>
          <w:bCs/>
          <w:lang w:eastAsia="zh"/>
        </w:rPr>
        <w:t>用户需求</w:t>
      </w:r>
    </w:p>
    <w:p w14:paraId="29E3D6FD" w14:textId="77777777" w:rsidR="00BA762F" w:rsidRDefault="00000000">
      <w:pPr>
        <w:spacing w:line="560" w:lineRule="exact"/>
        <w:ind w:firstLineChars="200" w:firstLine="480"/>
        <w:rPr>
          <w:rFonts w:ascii="Times New Roman" w:eastAsia="方正仿宋_GBK" w:hAnsi="Times New Roman"/>
          <w:sz w:val="24"/>
          <w:lang w:eastAsia="zh"/>
        </w:rPr>
      </w:pPr>
      <w:r>
        <w:rPr>
          <w:rFonts w:ascii="Times New Roman" w:eastAsia="方正仿宋_GBK" w:hAnsi="Times New Roman"/>
          <w:sz w:val="24"/>
        </w:rPr>
        <w:t>业务类型：高压新装、高压增容、高压装表临时用电；供电电压为：</w:t>
      </w:r>
      <w:r>
        <w:rPr>
          <w:rFonts w:ascii="Times New Roman" w:eastAsia="方正仿宋_GBK" w:hAnsi="Times New Roman"/>
          <w:sz w:val="24"/>
        </w:rPr>
        <w:t>10k</w:t>
      </w:r>
      <w:r>
        <w:rPr>
          <w:rFonts w:ascii="Times New Roman" w:eastAsia="方正仿宋_GBK" w:hAnsi="Times New Roman" w:hint="eastAsia"/>
          <w:sz w:val="24"/>
        </w:rPr>
        <w:t>V</w:t>
      </w:r>
      <w:r>
        <w:rPr>
          <w:rFonts w:ascii="Times New Roman" w:eastAsia="方正仿宋_GBK" w:hAnsi="Times New Roman"/>
          <w:sz w:val="24"/>
        </w:rPr>
        <w:t>；</w:t>
      </w:r>
      <w:r>
        <w:rPr>
          <w:rFonts w:ascii="Times New Roman" w:eastAsia="方正仿宋_GBK" w:hAnsi="Times New Roman" w:hint="eastAsia"/>
          <w:sz w:val="24"/>
        </w:rPr>
        <w:t>用户受电变压器总容量不得超过</w:t>
      </w:r>
      <w:r>
        <w:rPr>
          <w:rFonts w:ascii="Times New Roman" w:eastAsia="方正仿宋_GBK" w:hAnsi="Times New Roman" w:hint="eastAsia"/>
          <w:sz w:val="24"/>
        </w:rPr>
        <w:t>20000kVA</w:t>
      </w:r>
      <w:r>
        <w:rPr>
          <w:rFonts w:ascii="Times New Roman" w:eastAsia="方正仿宋_GBK" w:hAnsi="Times New Roman" w:hint="eastAsia"/>
          <w:sz w:val="24"/>
        </w:rPr>
        <w:t>。</w:t>
      </w:r>
    </w:p>
    <w:p w14:paraId="79300844" w14:textId="77777777" w:rsidR="00BA762F" w:rsidRDefault="00000000">
      <w:pPr>
        <w:spacing w:line="560" w:lineRule="exact"/>
        <w:ind w:firstLineChars="200" w:firstLine="480"/>
        <w:rPr>
          <w:rFonts w:ascii="方正黑体_GBK" w:eastAsia="方正黑体_GBK" w:hAnsi="方正黑体_GBK" w:cs="方正黑体_GBK"/>
          <w:bCs/>
          <w:lang w:eastAsia="zh"/>
        </w:rPr>
      </w:pPr>
      <w:r>
        <w:rPr>
          <w:rFonts w:ascii="Times New Roman" w:eastAsia="方正仿宋_GBK" w:hAnsi="Times New Roman" w:hint="eastAsia"/>
          <w:sz w:val="24"/>
        </w:rPr>
        <w:t>现场勘查阶段需明确的字段有</w:t>
      </w:r>
      <w:r>
        <w:rPr>
          <w:rFonts w:ascii="Times New Roman" w:eastAsia="方正仿宋_GBK" w:hAnsi="Times New Roman"/>
          <w:sz w:val="24"/>
          <w:lang w:eastAsia="zh"/>
        </w:rPr>
        <w:t>，</w:t>
      </w:r>
      <w:r>
        <w:rPr>
          <w:rFonts w:ascii="Times New Roman" w:eastAsia="方正仿宋_GBK" w:hAnsi="Times New Roman" w:hint="eastAsia"/>
          <w:sz w:val="24"/>
        </w:rPr>
        <w:t>其中必填字段为：</w:t>
      </w:r>
      <w:r>
        <w:rPr>
          <w:rFonts w:ascii="Times New Roman" w:eastAsia="方正仿宋_GBK" w:hAnsi="Times New Roman"/>
          <w:sz w:val="24"/>
          <w:lang w:eastAsia="zh"/>
        </w:rPr>
        <w:t>负荷性质、供电电压、需求类型、用电类别、核定合计合同容量</w:t>
      </w:r>
      <w:r>
        <w:rPr>
          <w:rFonts w:ascii="Times New Roman" w:eastAsia="方正仿宋_GBK" w:hAnsi="Times New Roman" w:hint="eastAsia"/>
          <w:sz w:val="24"/>
        </w:rPr>
        <w:t>、用户重要等级、用电地址</w:t>
      </w:r>
      <w:r>
        <w:rPr>
          <w:rFonts w:ascii="宋体" w:eastAsia="宋体" w:hAnsi="宋体" w:cs="宋体" w:hint="eastAsia"/>
          <w:sz w:val="24"/>
        </w:rPr>
        <w:t>等</w:t>
      </w:r>
      <w:r>
        <w:rPr>
          <w:rFonts w:ascii="Times New Roman" w:eastAsia="方正仿宋_GBK" w:hAnsi="Times New Roman" w:hint="eastAsia"/>
          <w:sz w:val="24"/>
        </w:rPr>
        <w:t>。</w:t>
      </w:r>
      <w:r>
        <w:rPr>
          <w:rFonts w:ascii="宋体" w:eastAsia="宋体" w:hAnsi="宋体" w:cs="宋体" w:hint="eastAsia"/>
          <w:sz w:val="24"/>
        </w:rPr>
        <w:t>选</w:t>
      </w:r>
      <w:r>
        <w:rPr>
          <w:rFonts w:ascii="Times New Roman" w:eastAsia="方正仿宋_GBK" w:hAnsi="Times New Roman" w:hint="eastAsia"/>
          <w:sz w:val="24"/>
        </w:rPr>
        <w:t>填字段为：联络方式、一二级负荷容量、电源数目、供电容量、电源性质等。</w:t>
      </w:r>
      <w:r>
        <w:rPr>
          <w:rFonts w:ascii="Times New Roman" w:eastAsia="方正仿宋_GBK" w:hAnsi="Times New Roman"/>
          <w:sz w:val="24"/>
          <w:lang w:eastAsia="zh"/>
        </w:rPr>
        <w:t>营销</w:t>
      </w:r>
      <w:r>
        <w:rPr>
          <w:rFonts w:ascii="Times New Roman" w:eastAsia="方正仿宋_GBK" w:hAnsi="Times New Roman"/>
          <w:sz w:val="24"/>
          <w:lang w:eastAsia="zh"/>
        </w:rPr>
        <w:t>2.0</w:t>
      </w:r>
      <w:r>
        <w:rPr>
          <w:rFonts w:ascii="Times New Roman" w:eastAsia="方正仿宋_GBK" w:hAnsi="Times New Roman"/>
          <w:sz w:val="24"/>
          <w:lang w:eastAsia="zh"/>
        </w:rPr>
        <w:t>系统会将上述用电需求字段传递给</w:t>
      </w:r>
      <w:r>
        <w:rPr>
          <w:rFonts w:ascii="Times New Roman" w:eastAsia="方正仿宋_GBK" w:hAnsi="Times New Roman"/>
          <w:sz w:val="24"/>
          <w:lang w:eastAsia="zh"/>
        </w:rPr>
        <w:t>PMS3.0</w:t>
      </w:r>
      <w:r>
        <w:rPr>
          <w:rFonts w:ascii="Times New Roman" w:eastAsia="方正仿宋_GBK" w:hAnsi="Times New Roman"/>
          <w:sz w:val="24"/>
          <w:lang w:eastAsia="zh"/>
        </w:rPr>
        <w:t>系统。关于</w:t>
      </w:r>
      <w:r>
        <w:rPr>
          <w:rFonts w:ascii="Times New Roman" w:eastAsia="方正仿宋_GBK" w:hAnsi="Times New Roman" w:hint="eastAsia"/>
          <w:sz w:val="24"/>
          <w:lang w:eastAsia="zh"/>
        </w:rPr>
        <w:t>具体受电点位置</w:t>
      </w:r>
      <w:r>
        <w:rPr>
          <w:rFonts w:ascii="Times New Roman" w:eastAsia="方正仿宋_GBK" w:hAnsi="Times New Roman"/>
          <w:sz w:val="24"/>
          <w:lang w:eastAsia="zh"/>
        </w:rPr>
        <w:t>应为配电房坐标，采用客户经理</w:t>
      </w:r>
      <w:r>
        <w:rPr>
          <w:rFonts w:ascii="Times New Roman" w:eastAsia="方正仿宋_GBK" w:hAnsi="Times New Roman" w:hint="eastAsia"/>
          <w:sz w:val="24"/>
          <w:lang w:eastAsia="zh"/>
        </w:rPr>
        <w:t>确认或</w:t>
      </w:r>
      <w:r>
        <w:rPr>
          <w:rFonts w:ascii="Times New Roman" w:eastAsia="方正仿宋_GBK" w:hAnsi="Times New Roman"/>
          <w:sz w:val="24"/>
          <w:lang w:eastAsia="zh"/>
        </w:rPr>
        <w:t>现场定位的经纬度。</w:t>
      </w:r>
    </w:p>
    <w:p w14:paraId="30EB0706" w14:textId="77777777" w:rsidR="00BA762F" w:rsidRDefault="00000000">
      <w:pPr>
        <w:pStyle w:val="2"/>
        <w:spacing w:before="0" w:after="0" w:line="560" w:lineRule="exact"/>
        <w:ind w:firstLineChars="200" w:firstLine="640"/>
        <w:rPr>
          <w:rFonts w:ascii="黑体" w:eastAsia="黑体" w:hAnsi="黑体" w:cs="黑体"/>
          <w:b w:val="0"/>
          <w:bCs/>
          <w:lang w:eastAsia="zh"/>
        </w:rPr>
      </w:pPr>
      <w:r>
        <w:rPr>
          <w:rFonts w:ascii="黑体" w:eastAsia="黑体" w:hAnsi="黑体" w:cs="黑体" w:hint="eastAsia"/>
          <w:b w:val="0"/>
          <w:bCs/>
        </w:rPr>
        <w:t>二</w:t>
      </w:r>
      <w:r>
        <w:rPr>
          <w:rFonts w:ascii="黑体" w:eastAsia="黑体" w:hAnsi="黑体" w:cs="黑体" w:hint="eastAsia"/>
          <w:b w:val="0"/>
          <w:bCs/>
          <w:lang w:eastAsia="zh"/>
        </w:rPr>
        <w:t>、大模型推理</w:t>
      </w:r>
    </w:p>
    <w:p w14:paraId="43792DCC" w14:textId="77777777" w:rsidR="00BA762F" w:rsidRDefault="00000000">
      <w:pPr>
        <w:spacing w:line="560" w:lineRule="exact"/>
        <w:ind w:firstLineChars="200" w:firstLine="653"/>
        <w:outlineLvl w:val="2"/>
        <w:rPr>
          <w:rFonts w:ascii="方正楷体_GB2312" w:eastAsia="方正楷体_GB2312" w:hAnsi="方正楷体_GB2312" w:cs="方正楷体_GB2312"/>
          <w:b/>
          <w:bCs/>
          <w:sz w:val="32"/>
          <w:szCs w:val="32"/>
          <w:lang w:eastAsia="zh"/>
        </w:rPr>
      </w:pPr>
      <w:bookmarkStart w:id="0" w:name="OLE_LINK3"/>
      <w:r>
        <w:rPr>
          <w:rFonts w:ascii="方正楷体_GB2312" w:eastAsia="方正楷体_GB2312" w:hAnsi="方正楷体_GB2312" w:cs="方正楷体_GB2312" w:hint="eastAsia"/>
          <w:b/>
          <w:bCs/>
          <w:sz w:val="32"/>
          <w:szCs w:val="32"/>
          <w:lang w:eastAsia="zh"/>
        </w:rPr>
        <w:t>（一）新装场景</w:t>
      </w:r>
    </w:p>
    <w:bookmarkEnd w:id="0"/>
    <w:p w14:paraId="1ADEC2EE" w14:textId="77777777" w:rsidR="00BA762F" w:rsidRDefault="00000000">
      <w:pPr>
        <w:spacing w:line="560" w:lineRule="exact"/>
        <w:ind w:firstLineChars="200" w:firstLine="489"/>
        <w:outlineLvl w:val="3"/>
        <w:rPr>
          <w:rFonts w:ascii="方正仿宋_GBK" w:eastAsia="方正仿宋_GBK" w:hAnsi="方正仿宋_GBK" w:cs="方正仿宋_GBK"/>
          <w:b/>
          <w:bCs/>
          <w:sz w:val="24"/>
          <w:lang w:eastAsia="zh"/>
        </w:rPr>
      </w:pPr>
      <w:r>
        <w:rPr>
          <w:rFonts w:ascii="方正仿宋_GBK" w:eastAsia="方正仿宋_GBK" w:hAnsi="方正仿宋_GBK" w:cs="方正仿宋_GBK" w:hint="eastAsia"/>
          <w:b/>
          <w:bCs/>
          <w:sz w:val="24"/>
        </w:rPr>
        <w:t>1</w:t>
      </w:r>
      <w:r>
        <w:rPr>
          <w:rFonts w:ascii="方正仿宋_GBK" w:eastAsia="方正仿宋_GBK" w:hAnsi="方正仿宋_GBK" w:cs="方正仿宋_GBK" w:hint="eastAsia"/>
          <w:b/>
          <w:bCs/>
          <w:sz w:val="24"/>
          <w:lang w:eastAsia="zh"/>
        </w:rPr>
        <w:t>.电源点查询</w:t>
      </w:r>
    </w:p>
    <w:p w14:paraId="6EE8D370" w14:textId="77777777" w:rsidR="00BA762F" w:rsidRDefault="00000000">
      <w:pPr>
        <w:widowControl/>
        <w:spacing w:line="560" w:lineRule="exact"/>
        <w:ind w:firstLineChars="200" w:firstLine="480"/>
        <w:rPr>
          <w:rFonts w:ascii="方正仿宋_GBK" w:eastAsia="方正仿宋_GBK" w:hAnsi="方正仿宋_GBK" w:cs="方正仿宋_GBK"/>
          <w:color w:val="EE0000"/>
          <w:kern w:val="0"/>
          <w:sz w:val="24"/>
          <w:lang w:bidi="ar"/>
        </w:rPr>
      </w:pPr>
      <w:r>
        <w:rPr>
          <w:rFonts w:ascii="方正仿宋_GBK" w:eastAsia="方正仿宋_GBK" w:hAnsi="方正仿宋_GBK" w:cs="方正仿宋_GBK" w:hint="eastAsia"/>
          <w:color w:val="000000"/>
          <w:kern w:val="0"/>
          <w:sz w:val="24"/>
          <w:lang w:bidi="ar"/>
        </w:rPr>
        <w:t>以用户受电点位置为中心，搜索周边电源点（从200米开始查询，后续按照500、800、1000扩散查询）所有电源点并进行罗列，若找不到电源点继续扩散，直到找到5条不同线路为止。对单电源用户，满足5条不同线路，形成单电源方案。对于一级重要用户采用双电源供电，双电源供电电源点需</w:t>
      </w:r>
      <w:r>
        <w:rPr>
          <w:rFonts w:ascii="方正仿宋_GBK" w:eastAsia="方正仿宋_GBK" w:hAnsi="方正仿宋_GBK" w:cs="方正仿宋_GBK" w:hint="eastAsia"/>
          <w:color w:val="000000"/>
          <w:kern w:val="0"/>
          <w:sz w:val="24"/>
          <w:lang w:eastAsia="zh" w:bidi="ar"/>
        </w:rPr>
        <w:t>来自两个不同变电站，或来自不同电源进线的同一变电站内两段母线</w:t>
      </w:r>
      <w:r>
        <w:rPr>
          <w:rFonts w:ascii="方正仿宋_GBK" w:eastAsia="方正仿宋_GBK" w:hAnsi="方正仿宋_GBK" w:cs="方正仿宋_GBK" w:hint="eastAsia"/>
          <w:color w:val="000000"/>
          <w:kern w:val="0"/>
          <w:sz w:val="24"/>
          <w:lang w:bidi="ar"/>
        </w:rPr>
        <w:t>。5条线路至少保证两条线路来自不同变电站或者两条线路来自同一变电站两段母线，形成双电源组合。对于二级重要用户、临时性重要用户，至少应采用双回路供电，双回路供电电源点可来自同一变电站的不同母线。5条线路至少保证两条线路来自不同母线，形成双回路组合。普通电力用户应根据用电负荷重要程度及用户需求，采用双电源、双回路或单电源供电。原则上一级负荷采用双电源供电，二级负荷采用双回路供电，三级负荷可采用单电源供电。</w:t>
      </w:r>
    </w:p>
    <w:p w14:paraId="75046B9E" w14:textId="77777777" w:rsidR="00BA762F" w:rsidRDefault="00000000">
      <w:pPr>
        <w:spacing w:line="560" w:lineRule="exact"/>
        <w:ind w:firstLineChars="200" w:firstLine="489"/>
        <w:outlineLvl w:val="3"/>
        <w:rPr>
          <w:rFonts w:ascii="方正仿宋_GBK" w:eastAsia="方正仿宋_GBK" w:hAnsi="方正仿宋_GBK" w:cs="方正仿宋_GBK"/>
          <w:b/>
          <w:bCs/>
          <w:sz w:val="24"/>
        </w:rPr>
      </w:pPr>
      <w:r>
        <w:rPr>
          <w:rFonts w:ascii="方正仿宋_GBK" w:eastAsia="方正仿宋_GBK" w:hAnsi="方正仿宋_GBK" w:cs="方正仿宋_GBK" w:hint="eastAsia"/>
          <w:b/>
          <w:bCs/>
          <w:sz w:val="24"/>
        </w:rPr>
        <w:lastRenderedPageBreak/>
        <w:t>2.校核容量</w:t>
      </w:r>
    </w:p>
    <w:p w14:paraId="45A17705" w14:textId="77777777" w:rsidR="00BA762F" w:rsidRDefault="00000000">
      <w:pPr>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hint="eastAsia"/>
          <w:color w:val="000000"/>
          <w:kern w:val="0"/>
          <w:sz w:val="24"/>
          <w:lang w:eastAsia="zh" w:bidi="ar"/>
        </w:rPr>
        <w:t>接入方案推荐电源点时，需同步</w:t>
      </w:r>
      <w:r>
        <w:rPr>
          <w:rFonts w:ascii="方正仿宋_GBK" w:eastAsia="方正仿宋_GBK" w:hAnsi="方正仿宋_GBK" w:cs="方正仿宋_GBK" w:hint="eastAsia"/>
          <w:color w:val="000000"/>
          <w:kern w:val="0"/>
          <w:sz w:val="24"/>
          <w:lang w:bidi="ar"/>
        </w:rPr>
        <w:t>校验</w:t>
      </w:r>
      <w:r>
        <w:rPr>
          <w:rFonts w:ascii="方正仿宋_GBK" w:eastAsia="方正仿宋_GBK" w:hAnsi="方正仿宋_GBK" w:cs="方正仿宋_GBK" w:hint="eastAsia"/>
          <w:color w:val="000000"/>
          <w:kern w:val="0"/>
          <w:sz w:val="24"/>
          <w:lang w:eastAsia="zh" w:bidi="ar"/>
        </w:rPr>
        <w:t>关联馈线的可开放容量、当前负载率及对应主变的实时负载率，确保所选电源点满足电网承载能力要求。在供电距离最短的电源点中，若存在重载线路，需优先推荐并要求生产人员落实线路负载治理措施</w:t>
      </w:r>
      <w:r>
        <w:rPr>
          <w:rFonts w:ascii="方正仿宋_GBK" w:eastAsia="方正仿宋_GBK" w:hAnsi="方正仿宋_GBK" w:cs="方正仿宋_GBK" w:hint="eastAsia"/>
          <w:color w:val="000000"/>
          <w:kern w:val="0"/>
          <w:sz w:val="24"/>
          <w:lang w:bidi="ar"/>
        </w:rPr>
        <w:t>。</w:t>
      </w:r>
    </w:p>
    <w:p w14:paraId="5E5FE6F0" w14:textId="77777777" w:rsidR="00BA762F" w:rsidRDefault="00000000">
      <w:pPr>
        <w:widowControl/>
        <w:spacing w:line="560" w:lineRule="exact"/>
        <w:ind w:firstLineChars="200" w:firstLine="489"/>
        <w:rPr>
          <w:rFonts w:ascii="方正仿宋_GBK" w:eastAsia="方正仿宋_GBK" w:hAnsi="方正仿宋_GBK" w:cs="方正仿宋_GBK"/>
          <w:b/>
          <w:bCs/>
          <w:color w:val="000000"/>
          <w:kern w:val="0"/>
          <w:sz w:val="24"/>
          <w:lang w:eastAsia="zh" w:bidi="ar"/>
        </w:rPr>
      </w:pPr>
      <w:r>
        <w:rPr>
          <w:rFonts w:ascii="方正仿宋_GBK" w:eastAsia="方正仿宋_GBK" w:hAnsi="方正仿宋_GBK" w:cs="方正仿宋_GBK" w:hint="eastAsia"/>
          <w:b/>
          <w:bCs/>
          <w:color w:val="000000"/>
          <w:kern w:val="0"/>
          <w:sz w:val="24"/>
          <w:lang w:bidi="ar"/>
        </w:rPr>
        <w:t>（1）现有电源点</w:t>
      </w:r>
      <w:r>
        <w:rPr>
          <w:rFonts w:ascii="方正仿宋_GBK" w:eastAsia="方正仿宋_GBK" w:hAnsi="方正仿宋_GBK" w:cs="方正仿宋_GBK" w:hint="eastAsia"/>
          <w:b/>
          <w:bCs/>
          <w:color w:val="000000"/>
          <w:kern w:val="0"/>
          <w:sz w:val="24"/>
          <w:lang w:eastAsia="zh" w:bidi="ar"/>
        </w:rPr>
        <w:t>筛选规则</w:t>
      </w:r>
    </w:p>
    <w:p w14:paraId="202B6326"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hint="eastAsia"/>
          <w:color w:val="000000"/>
          <w:kern w:val="0"/>
          <w:sz w:val="24"/>
          <w:lang w:bidi="ar"/>
        </w:rPr>
        <w:t>筛选电源点时，未重载的电源点，需满足以下基础约束：</w:t>
      </w:r>
    </w:p>
    <w:p w14:paraId="3B877A1A"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hint="eastAsia"/>
          <w:color w:val="000000"/>
          <w:kern w:val="0"/>
          <w:sz w:val="24"/>
          <w:lang w:bidi="ar"/>
        </w:rPr>
        <w:t>1）所属馈线历史最大负载率 ＜ 8</w:t>
      </w:r>
      <w:r>
        <w:rPr>
          <w:rFonts w:ascii="方正仿宋_GBK" w:eastAsia="方正仿宋_GBK" w:hAnsi="方正仿宋_GBK" w:cs="方正仿宋_GBK" w:hint="eastAsia"/>
          <w:color w:val="000000"/>
          <w:kern w:val="0"/>
          <w:sz w:val="24"/>
          <w:lang w:eastAsia="zh" w:bidi="ar"/>
        </w:rPr>
        <w:t>0%</w:t>
      </w:r>
      <w:r>
        <w:rPr>
          <w:rFonts w:ascii="方正仿宋_GBK" w:eastAsia="方正仿宋_GBK" w:hAnsi="方正仿宋_GBK" w:cs="方正仿宋_GBK" w:hint="eastAsia"/>
          <w:color w:val="000000"/>
          <w:kern w:val="0"/>
          <w:sz w:val="24"/>
          <w:lang w:bidi="ar"/>
        </w:rPr>
        <w:t xml:space="preserve"> （配网3号文要求）。</w:t>
      </w:r>
    </w:p>
    <w:p w14:paraId="5764145B"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hint="eastAsia"/>
          <w:color w:val="000000"/>
          <w:kern w:val="0"/>
          <w:sz w:val="24"/>
          <w:lang w:bidi="ar"/>
        </w:rPr>
        <w:t>2）馈线可开放容量 ＞ 单路接入容量。</w:t>
      </w:r>
    </w:p>
    <w:p w14:paraId="356DC9E4"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hint="eastAsia"/>
          <w:color w:val="000000"/>
          <w:kern w:val="0"/>
          <w:sz w:val="24"/>
          <w:lang w:bidi="ar"/>
        </w:rPr>
        <w:t>3）环网柜/开关站</w:t>
      </w:r>
      <w:r>
        <w:rPr>
          <w:rFonts w:ascii="方正仿宋_GBK" w:eastAsia="方正仿宋_GBK" w:hAnsi="方正仿宋_GBK" w:cs="方正仿宋_GBK" w:hint="eastAsia"/>
          <w:color w:val="000000"/>
          <w:kern w:val="0"/>
          <w:sz w:val="24"/>
          <w:lang w:eastAsia="zh" w:bidi="ar"/>
        </w:rPr>
        <w:t xml:space="preserve"> </w:t>
      </w:r>
      <w:r>
        <w:rPr>
          <w:rFonts w:ascii="方正仿宋_GBK" w:eastAsia="方正仿宋_GBK" w:hAnsi="方正仿宋_GBK" w:cs="方正仿宋_GBK" w:hint="eastAsia"/>
          <w:color w:val="000000"/>
          <w:kern w:val="0"/>
          <w:sz w:val="24"/>
          <w:lang w:bidi="ar"/>
        </w:rPr>
        <w:t xml:space="preserve">备用间隔数 </w:t>
      </w:r>
      <w:r>
        <w:rPr>
          <w:rFonts w:ascii="方正仿宋_GBK" w:eastAsia="方正仿宋_GBK" w:hAnsi="方正仿宋_GBK" w:cs="方正仿宋_GBK" w:hint="eastAsia"/>
          <w:color w:val="000000"/>
          <w:kern w:val="0"/>
          <w:sz w:val="24"/>
          <w:lang w:eastAsia="zh" w:bidi="ar"/>
        </w:rPr>
        <w:t>&gt;=</w:t>
      </w:r>
      <w:r>
        <w:rPr>
          <w:rFonts w:ascii="方正仿宋_GBK" w:eastAsia="方正仿宋_GBK" w:hAnsi="方正仿宋_GBK" w:cs="方正仿宋_GBK" w:hint="eastAsia"/>
          <w:color w:val="000000"/>
          <w:kern w:val="0"/>
          <w:sz w:val="24"/>
          <w:lang w:bidi="ar"/>
        </w:rPr>
        <w:t xml:space="preserve"> </w:t>
      </w:r>
      <w:r>
        <w:rPr>
          <w:rFonts w:ascii="方正仿宋_GBK" w:eastAsia="方正仿宋_GBK" w:hAnsi="方正仿宋_GBK" w:cs="方正仿宋_GBK" w:hint="eastAsia"/>
          <w:color w:val="000000"/>
          <w:kern w:val="0"/>
          <w:sz w:val="24"/>
          <w:lang w:eastAsia="zh" w:bidi="ar"/>
        </w:rPr>
        <w:t>2</w:t>
      </w:r>
      <w:r>
        <w:rPr>
          <w:rFonts w:ascii="方正仿宋_GBK" w:eastAsia="方正仿宋_GBK" w:hAnsi="方正仿宋_GBK" w:cs="方正仿宋_GBK" w:hint="eastAsia"/>
          <w:color w:val="000000"/>
          <w:kern w:val="0"/>
          <w:sz w:val="24"/>
          <w:lang w:bidi="ar"/>
        </w:rPr>
        <w:t>。</w:t>
      </w:r>
    </w:p>
    <w:p w14:paraId="715D486C"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hint="eastAsia"/>
          <w:color w:val="000000"/>
          <w:kern w:val="0"/>
          <w:sz w:val="24"/>
          <w:lang w:bidi="ar"/>
        </w:rPr>
        <w:t>4）</w:t>
      </w:r>
      <w:r>
        <w:rPr>
          <w:rFonts w:ascii="方正仿宋_GBK" w:eastAsia="方正仿宋_GBK" w:hAnsi="方正仿宋_GBK" w:cs="方正仿宋_GBK" w:hint="eastAsia"/>
          <w:color w:val="000000"/>
          <w:kern w:val="0"/>
          <w:sz w:val="24"/>
          <w:lang w:eastAsia="zh" w:bidi="ar"/>
        </w:rPr>
        <w:t>馈线</w:t>
      </w:r>
      <w:r>
        <w:rPr>
          <w:rFonts w:ascii="方正仿宋_GBK" w:eastAsia="方正仿宋_GBK" w:hAnsi="方正仿宋_GBK" w:cs="方正仿宋_GBK" w:hint="eastAsia"/>
          <w:color w:val="000000"/>
          <w:kern w:val="0"/>
          <w:sz w:val="24"/>
          <w:lang w:bidi="ar"/>
        </w:rPr>
        <w:t>所属变电站主变可开放容量 ＞ 单路接入容量。</w:t>
      </w:r>
    </w:p>
    <w:p w14:paraId="22B048C1"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hint="eastAsia"/>
          <w:color w:val="000000"/>
          <w:kern w:val="0"/>
          <w:sz w:val="24"/>
          <w:lang w:bidi="ar"/>
        </w:rPr>
        <w:t>5）</w:t>
      </w:r>
      <w:r>
        <w:rPr>
          <w:rFonts w:ascii="方正仿宋_GBK" w:eastAsia="方正仿宋_GBK" w:hAnsi="方正仿宋_GBK" w:cs="方正仿宋_GBK" w:hint="eastAsia"/>
          <w:color w:val="000000"/>
          <w:kern w:val="0"/>
          <w:sz w:val="24"/>
          <w:lang w:eastAsia="zh" w:bidi="ar"/>
        </w:rPr>
        <w:t>馈线</w:t>
      </w:r>
      <w:r>
        <w:rPr>
          <w:rFonts w:ascii="方正仿宋_GBK" w:eastAsia="方正仿宋_GBK" w:hAnsi="方正仿宋_GBK" w:cs="方正仿宋_GBK" w:hint="eastAsia"/>
          <w:color w:val="000000"/>
          <w:kern w:val="0"/>
          <w:sz w:val="24"/>
          <w:lang w:bidi="ar"/>
        </w:rPr>
        <w:t xml:space="preserve">所属变电站主变负载率 ＜ </w:t>
      </w:r>
      <w:r>
        <w:rPr>
          <w:rFonts w:ascii="方正仿宋_GBK" w:eastAsia="方正仿宋_GBK" w:hAnsi="方正仿宋_GBK" w:cs="方正仿宋_GBK" w:hint="eastAsia"/>
          <w:color w:val="000000"/>
          <w:kern w:val="0"/>
          <w:sz w:val="24"/>
          <w:lang w:eastAsia="zh" w:bidi="ar"/>
        </w:rPr>
        <w:t>80%</w:t>
      </w:r>
      <w:r>
        <w:rPr>
          <w:rFonts w:ascii="方正仿宋_GBK" w:eastAsia="方正仿宋_GBK" w:hAnsi="方正仿宋_GBK" w:cs="方正仿宋_GBK" w:hint="eastAsia"/>
          <w:color w:val="000000"/>
          <w:kern w:val="0"/>
          <w:sz w:val="24"/>
          <w:lang w:bidi="ar"/>
        </w:rPr>
        <w:t>。</w:t>
      </w:r>
    </w:p>
    <w:p w14:paraId="5FE3CEC8" w14:textId="77777777" w:rsidR="00BA762F" w:rsidRDefault="00000000">
      <w:pPr>
        <w:widowControl/>
        <w:spacing w:line="560" w:lineRule="exact"/>
        <w:ind w:firstLineChars="200" w:firstLine="489"/>
        <w:rPr>
          <w:rFonts w:ascii="方正仿宋_GBK" w:eastAsia="方正仿宋_GBK" w:hAnsi="方正仿宋_GBK" w:cs="方正仿宋_GBK"/>
          <w:b/>
          <w:bCs/>
          <w:color w:val="000000"/>
          <w:kern w:val="0"/>
          <w:sz w:val="24"/>
          <w:lang w:bidi="ar"/>
        </w:rPr>
      </w:pPr>
      <w:r>
        <w:rPr>
          <w:rFonts w:ascii="方正仿宋_GBK" w:eastAsia="方正仿宋_GBK" w:hAnsi="方正仿宋_GBK" w:cs="方正仿宋_GBK" w:hint="eastAsia"/>
          <w:b/>
          <w:bCs/>
          <w:color w:val="000000"/>
          <w:kern w:val="0"/>
          <w:sz w:val="24"/>
          <w:lang w:bidi="ar"/>
        </w:rPr>
        <w:t>（2）负荷划接规则</w:t>
      </w:r>
    </w:p>
    <w:p w14:paraId="4180B11D"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color w:val="000000"/>
          <w:kern w:val="0"/>
          <w:sz w:val="24"/>
          <w:lang w:bidi="ar"/>
        </w:rPr>
        <w:t>推荐电源点供电距离较近时，若馈线负载率超过80%或主变负载率超过80%，需进行负荷转移方案设计。原则上应保持现有线路联络关系不变，优先利用现有分段开关、联络开关及当前运行方式实施负荷割接。</w:t>
      </w:r>
    </w:p>
    <w:p w14:paraId="011772F1" w14:textId="77777777" w:rsidR="00BA762F" w:rsidRDefault="00000000">
      <w:pPr>
        <w:widowControl/>
        <w:spacing w:line="560" w:lineRule="exact"/>
        <w:ind w:firstLineChars="200" w:firstLine="489"/>
        <w:rPr>
          <w:rFonts w:ascii="方正仿宋_GBK" w:eastAsia="方正仿宋_GBK" w:hAnsi="方正仿宋_GBK" w:cs="方正仿宋_GBK"/>
          <w:b/>
          <w:bCs/>
          <w:color w:val="000000"/>
          <w:kern w:val="0"/>
          <w:sz w:val="24"/>
          <w:lang w:bidi="ar"/>
        </w:rPr>
      </w:pPr>
      <w:r>
        <w:rPr>
          <w:rFonts w:ascii="方正仿宋_GBK" w:eastAsia="方正仿宋_GBK" w:hAnsi="方正仿宋_GBK" w:cs="方正仿宋_GBK" w:hint="eastAsia"/>
          <w:b/>
          <w:bCs/>
          <w:color w:val="000000"/>
          <w:kern w:val="0"/>
          <w:sz w:val="24"/>
          <w:lang w:bidi="ar"/>
        </w:rPr>
        <w:t>1）</w:t>
      </w:r>
      <w:r>
        <w:rPr>
          <w:rFonts w:ascii="方正仿宋_GBK" w:eastAsia="方正仿宋_GBK" w:hAnsi="方正仿宋_GBK" w:cs="方正仿宋_GBK"/>
          <w:b/>
          <w:bCs/>
          <w:color w:val="000000"/>
          <w:kern w:val="0"/>
          <w:sz w:val="24"/>
          <w:lang w:bidi="ar"/>
        </w:rPr>
        <w:t>馈线负载调整策略</w:t>
      </w:r>
    </w:p>
    <w:p w14:paraId="7BA12D03"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color w:val="000000"/>
          <w:kern w:val="0"/>
          <w:sz w:val="24"/>
          <w:lang w:bidi="ar"/>
        </w:rPr>
        <w:t>优先选取空间距离最近且具有充足负载裕度的相邻馈线作为接收对象，确保负荷割接后目标线路的最大负载率控制在80%以内。</w:t>
      </w:r>
    </w:p>
    <w:p w14:paraId="7148C566" w14:textId="77777777" w:rsidR="00BA762F" w:rsidRDefault="00000000">
      <w:pPr>
        <w:widowControl/>
        <w:spacing w:line="560" w:lineRule="exact"/>
        <w:ind w:firstLineChars="200" w:firstLine="489"/>
        <w:rPr>
          <w:rFonts w:ascii="方正仿宋_GBK" w:eastAsia="方正仿宋_GBK" w:hAnsi="方正仿宋_GBK" w:cs="方正仿宋_GBK"/>
          <w:b/>
          <w:bCs/>
          <w:color w:val="000000"/>
          <w:kern w:val="0"/>
          <w:sz w:val="24"/>
          <w:lang w:bidi="ar"/>
        </w:rPr>
      </w:pPr>
      <w:r>
        <w:rPr>
          <w:rFonts w:ascii="方正仿宋_GBK" w:eastAsia="方正仿宋_GBK" w:hAnsi="方正仿宋_GBK" w:cs="方正仿宋_GBK" w:hint="eastAsia"/>
          <w:b/>
          <w:bCs/>
          <w:color w:val="000000"/>
          <w:kern w:val="0"/>
          <w:sz w:val="24"/>
          <w:lang w:bidi="ar"/>
        </w:rPr>
        <w:t>2）</w:t>
      </w:r>
      <w:r>
        <w:rPr>
          <w:rFonts w:ascii="方正仿宋_GBK" w:eastAsia="方正仿宋_GBK" w:hAnsi="方正仿宋_GBK" w:cs="方正仿宋_GBK"/>
          <w:b/>
          <w:bCs/>
          <w:color w:val="000000"/>
          <w:kern w:val="0"/>
          <w:sz w:val="24"/>
          <w:lang w:bidi="ar"/>
        </w:rPr>
        <w:t>主变负载调整策略</w:t>
      </w:r>
    </w:p>
    <w:p w14:paraId="0FC9C26F" w14:textId="77777777" w:rsidR="00BA762F" w:rsidRDefault="00000000">
      <w:pPr>
        <w:widowControl/>
        <w:spacing w:line="560" w:lineRule="exact"/>
        <w:ind w:firstLineChars="200" w:firstLine="480"/>
        <w:rPr>
          <w:rFonts w:ascii="方正仿宋_GBK" w:eastAsia="方正仿宋_GBK" w:hAnsi="方正仿宋_GBK" w:cs="方正仿宋_GBK"/>
          <w:color w:val="000000"/>
          <w:kern w:val="0"/>
          <w:sz w:val="24"/>
          <w:lang w:bidi="ar"/>
        </w:rPr>
      </w:pPr>
      <w:r>
        <w:rPr>
          <w:rFonts w:ascii="方正仿宋_GBK" w:eastAsia="方正仿宋_GBK" w:hAnsi="方正仿宋_GBK" w:cs="方正仿宋_GBK"/>
          <w:color w:val="000000"/>
          <w:kern w:val="0"/>
          <w:sz w:val="24"/>
          <w:lang w:bidi="ar"/>
        </w:rPr>
        <w:t>在同一个变电站内，选择通过联络开关连接当前负载较高的线路，通过优化运行方式或加装分段开关等措施，将部分负荷转移至其他负载较轻的主变，确保调整后目标主变的最大负载率不超过80%。</w:t>
      </w:r>
    </w:p>
    <w:p w14:paraId="4A34D0D9" w14:textId="77777777" w:rsidR="00BA762F" w:rsidRDefault="00000000">
      <w:pPr>
        <w:spacing w:line="560" w:lineRule="exact"/>
        <w:ind w:firstLineChars="200" w:firstLine="489"/>
        <w:outlineLvl w:val="3"/>
        <w:rPr>
          <w:rFonts w:ascii="方正仿宋_GBK" w:eastAsia="方正仿宋_GBK" w:hAnsi="方正仿宋_GBK" w:cs="方正仿宋_GBK"/>
          <w:b/>
          <w:bCs/>
          <w:sz w:val="24"/>
        </w:rPr>
      </w:pPr>
      <w:r>
        <w:rPr>
          <w:rFonts w:ascii="方正仿宋_GBK" w:eastAsia="方正仿宋_GBK" w:hAnsi="方正仿宋_GBK" w:cs="方正仿宋_GBK" w:hint="eastAsia"/>
          <w:b/>
          <w:bCs/>
          <w:sz w:val="24"/>
        </w:rPr>
        <w:t>3.变电站新出线</w:t>
      </w:r>
    </w:p>
    <w:p w14:paraId="1424F3FE"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sz w:val="24"/>
        </w:rPr>
        <w:lastRenderedPageBreak/>
        <w:t>满足下列任一条件，即触发变电站新出线逻辑：</w:t>
      </w:r>
    </w:p>
    <w:p w14:paraId="68B1025B"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（1）</w:t>
      </w:r>
      <w:r>
        <w:rPr>
          <w:rFonts w:ascii="方正仿宋_GBK" w:eastAsia="方正仿宋_GBK" w:hAnsi="方正仿宋_GBK" w:cs="方正仿宋_GBK"/>
          <w:sz w:val="24"/>
        </w:rPr>
        <w:t>推理配置已勾选变电站新出线功能选项；</w:t>
      </w:r>
    </w:p>
    <w:p w14:paraId="69B447E7"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（2）单路电源供电容量</w:t>
      </w:r>
      <w:r>
        <w:rPr>
          <w:rFonts w:ascii="方正仿宋_GBK" w:eastAsia="方正仿宋_GBK" w:hAnsi="方正仿宋_GBK" w:cs="方正仿宋_GBK"/>
          <w:sz w:val="24"/>
        </w:rPr>
        <w:t>≥5000kVA；</w:t>
      </w:r>
    </w:p>
    <w:p w14:paraId="443769DF"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（3）</w:t>
      </w:r>
      <w:r>
        <w:rPr>
          <w:rFonts w:ascii="方正仿宋_GBK" w:eastAsia="方正仿宋_GBK" w:hAnsi="方正仿宋_GBK" w:cs="方正仿宋_GBK"/>
          <w:sz w:val="24"/>
        </w:rPr>
        <w:t>电源点查询无符合要求的可用电源点；</w:t>
      </w:r>
    </w:p>
    <w:p w14:paraId="1CE55AA5"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（4）</w:t>
      </w:r>
      <w:r>
        <w:rPr>
          <w:rFonts w:ascii="方正仿宋_GBK" w:eastAsia="方正仿宋_GBK" w:hAnsi="方正仿宋_GBK" w:cs="方正仿宋_GBK"/>
          <w:sz w:val="24"/>
        </w:rPr>
        <w:t>推荐电源点馈线负载率超 80% 需进行负荷割接，且其1000米范围内无满足割接条件的线路（割接条件：负荷割接后目标线路最大负载率≤80%）；</w:t>
      </w:r>
    </w:p>
    <w:p w14:paraId="42825558"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（5）</w:t>
      </w:r>
      <w:r>
        <w:rPr>
          <w:rFonts w:ascii="方正仿宋_GBK" w:eastAsia="方正仿宋_GBK" w:hAnsi="方正仿宋_GBK" w:cs="方正仿宋_GBK"/>
          <w:sz w:val="24"/>
        </w:rPr>
        <w:t>推荐电源点主变负载率超 80% 需进行负荷割接，且该电源点所属变电站内无满足割接条件的主变（割接条件：负荷割接后目标主变最大负载率≤80%）。</w:t>
      </w:r>
    </w:p>
    <w:p w14:paraId="2982D84D" w14:textId="77777777" w:rsidR="00BA762F" w:rsidRDefault="00000000">
      <w:pPr>
        <w:widowControl/>
        <w:spacing w:line="560" w:lineRule="exact"/>
        <w:ind w:firstLineChars="200" w:firstLine="489"/>
        <w:rPr>
          <w:rFonts w:ascii="方正仿宋_GBK" w:eastAsia="方正仿宋_GBK" w:hAnsi="方正仿宋_GBK" w:cs="方正仿宋_GBK"/>
          <w:sz w:val="24"/>
        </w:rPr>
      </w:pPr>
      <w:r>
        <w:rPr>
          <w:rFonts w:ascii="方正仿宋_GBK" w:eastAsia="方正仿宋_GBK" w:hAnsi="方正仿宋_GBK" w:cs="方正仿宋_GBK" w:hint="eastAsia"/>
          <w:b/>
          <w:bCs/>
          <w:color w:val="000000"/>
          <w:kern w:val="0"/>
          <w:sz w:val="24"/>
          <w:lang w:bidi="ar"/>
        </w:rPr>
        <w:t>变电站新出线策略</w:t>
      </w:r>
    </w:p>
    <w:p w14:paraId="1BB0D572"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以用户受电点位置为中心，按由近至远顺序动态搜索15公里范围内的邻近变电站，优先判断各变电站是否存在空余间隔且其对应主变的可开放容量与实时负载率（不超过80%）均满足接入条件。若搜索到符合要求的变电站，则直接通过该变电站的间隔开关实现新出线接入供电，搜索范围不超过15公里；若15公里范围内未检索到任何同时满足空余间隔、主变负载率及可开放容量要求的变电站，则判定无可用接入方案。</w:t>
      </w:r>
    </w:p>
    <w:p w14:paraId="69F9373A" w14:textId="77777777" w:rsidR="00BA762F" w:rsidRDefault="00000000">
      <w:pPr>
        <w:spacing w:line="560" w:lineRule="exact"/>
        <w:ind w:firstLineChars="200" w:firstLine="489"/>
        <w:outlineLvl w:val="3"/>
        <w:rPr>
          <w:rFonts w:ascii="方正仿宋_GBK" w:eastAsia="方正仿宋_GBK" w:hAnsi="方正仿宋_GBK" w:cs="方正仿宋_GBK"/>
          <w:b/>
          <w:bCs/>
          <w:sz w:val="24"/>
          <w:lang w:eastAsia="zh"/>
        </w:rPr>
      </w:pPr>
      <w:r>
        <w:rPr>
          <w:rFonts w:ascii="方正仿宋_GBK" w:eastAsia="方正仿宋_GBK" w:hAnsi="方正仿宋_GBK" w:cs="方正仿宋_GBK" w:hint="eastAsia"/>
          <w:b/>
          <w:bCs/>
          <w:sz w:val="24"/>
        </w:rPr>
        <w:t>4</w:t>
      </w:r>
      <w:r>
        <w:rPr>
          <w:rFonts w:ascii="方正仿宋_GBK" w:eastAsia="方正仿宋_GBK" w:hAnsi="方正仿宋_GBK" w:cs="方正仿宋_GBK" w:hint="eastAsia"/>
          <w:b/>
          <w:bCs/>
          <w:sz w:val="24"/>
          <w:lang w:eastAsia="zh"/>
        </w:rPr>
        <w:t>.电源方案生成</w:t>
      </w:r>
    </w:p>
    <w:p w14:paraId="18C88A7C"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对筛选后的电源点按距离远近进行排序：单电源场景下选取不同线路中距离最近的接入点；双电源场景下选择来自不同线路且距离最近的电源接入点，同时须满足双电源配置要求；双回路场景下同样选取不同线路且距离最近的电源接入点，并确保符合双回路技术要求。若PMS前置推理已指定电源类型，则方案生成过程中仅推荐该指定类型的电源，不再推送其他类型电源方案。</w:t>
      </w:r>
    </w:p>
    <w:p w14:paraId="6075656D" w14:textId="77777777" w:rsidR="00BA762F" w:rsidRDefault="00000000">
      <w:pPr>
        <w:spacing w:line="560" w:lineRule="exact"/>
        <w:ind w:firstLineChars="200" w:firstLine="653"/>
        <w:outlineLvl w:val="2"/>
        <w:rPr>
          <w:rFonts w:ascii="方正楷体_GB2312" w:eastAsia="方正楷体_GB2312" w:hAnsi="方正楷体_GB2312" w:cs="方正楷体_GB2312"/>
          <w:b/>
          <w:bCs/>
          <w:sz w:val="32"/>
          <w:szCs w:val="32"/>
          <w:lang w:eastAsia="zh"/>
        </w:rPr>
      </w:pPr>
      <w:r>
        <w:rPr>
          <w:rFonts w:ascii="方正楷体_GB2312" w:eastAsia="方正楷体_GB2312" w:hAnsi="方正楷体_GB2312" w:cs="方正楷体_GB2312" w:hint="eastAsia"/>
          <w:b/>
          <w:bCs/>
          <w:sz w:val="32"/>
          <w:szCs w:val="32"/>
          <w:lang w:eastAsia="zh"/>
        </w:rPr>
        <w:t>（二）增容场景</w:t>
      </w:r>
    </w:p>
    <w:p w14:paraId="12C0F126"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sz w:val="24"/>
        </w:rPr>
        <w:t>首先校验原电源接入线路及其对应主变是否满足增容或新增接入需求：</w:t>
      </w:r>
    </w:p>
    <w:p w14:paraId="0EEFFD86"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sz w:val="24"/>
        </w:rPr>
        <w:lastRenderedPageBreak/>
        <w:t>若为单电源增容场景，仅评估原电源接入方案可行性，不考虑其他电源接入点；若原电源接入条件不满足，则需对原线路实施负荷</w:t>
      </w:r>
      <w:r>
        <w:rPr>
          <w:rFonts w:ascii="方正仿宋_GBK" w:eastAsia="方正仿宋_GBK" w:hAnsi="方正仿宋_GBK" w:cs="方正仿宋_GBK" w:hint="eastAsia"/>
          <w:sz w:val="24"/>
        </w:rPr>
        <w:t>划接，负荷划接规则与新装逻辑一致</w:t>
      </w:r>
      <w:r>
        <w:rPr>
          <w:rFonts w:ascii="方正仿宋_GBK" w:eastAsia="方正仿宋_GBK" w:hAnsi="方正仿宋_GBK" w:cs="方正仿宋_GBK"/>
          <w:sz w:val="24"/>
        </w:rPr>
        <w:t>。</w:t>
      </w:r>
    </w:p>
    <w:p w14:paraId="27DDB26E"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sz w:val="24"/>
        </w:rPr>
        <w:t>对于单电源增容升级为双电源的场景，一路保持采用原电源接入点（若原电源接入条件不满足，需对该线路进行负荷转移规划），另一路则按新装电源点推荐逻辑确定接入方案。</w:t>
      </w:r>
    </w:p>
    <w:p w14:paraId="7F12FB00" w14:textId="77777777" w:rsidR="00BA762F" w:rsidRDefault="00000000">
      <w:pPr>
        <w:pStyle w:val="2"/>
        <w:spacing w:before="0" w:after="0" w:line="560" w:lineRule="exact"/>
        <w:ind w:firstLineChars="200" w:firstLine="640"/>
        <w:rPr>
          <w:rFonts w:ascii="黑体" w:eastAsia="黑体" w:hAnsi="黑体" w:cs="黑体"/>
          <w:b w:val="0"/>
          <w:bCs/>
          <w:lang w:eastAsia="zh"/>
        </w:rPr>
      </w:pPr>
      <w:r>
        <w:rPr>
          <w:rFonts w:ascii="黑体" w:eastAsia="黑体" w:hAnsi="黑体" w:cs="黑体" w:hint="eastAsia"/>
          <w:b w:val="0"/>
          <w:bCs/>
        </w:rPr>
        <w:t>三、方案</w:t>
      </w:r>
      <w:r>
        <w:rPr>
          <w:rFonts w:ascii="黑体" w:eastAsia="黑体" w:hAnsi="黑体" w:cs="黑体" w:hint="eastAsia"/>
          <w:b w:val="0"/>
          <w:bCs/>
          <w:lang w:eastAsia="zh"/>
        </w:rPr>
        <w:t>评分规则</w:t>
      </w:r>
    </w:p>
    <w:p w14:paraId="1634356D" w14:textId="77777777" w:rsidR="00BA762F" w:rsidRDefault="00000000">
      <w:pPr>
        <w:spacing w:line="560" w:lineRule="exact"/>
        <w:ind w:firstLineChars="200" w:firstLine="480"/>
        <w:outlineLvl w:val="2"/>
        <w:rPr>
          <w:rFonts w:ascii="方正楷体_GBK" w:eastAsia="方正楷体_GBK" w:hAnsi="方正楷体_GBK" w:cs="方正楷体_GBK"/>
          <w:b/>
          <w:bCs/>
          <w:sz w:val="24"/>
        </w:rPr>
      </w:pPr>
      <w:r>
        <w:rPr>
          <w:rFonts w:ascii="方正楷体_GBK" w:eastAsia="方正楷体_GBK" w:hAnsi="方正楷体_GBK" w:cs="方正楷体_GBK" w:hint="eastAsia"/>
          <w:b/>
          <w:bCs/>
          <w:sz w:val="24"/>
        </w:rPr>
        <w:t>（一）评分生成</w:t>
      </w:r>
    </w:p>
    <w:p w14:paraId="7F59F19A"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综合评分=造价估算与经济性×35%+容量与运行裕度×35%+设备健康与可持续性×15%+施工可实施性×15%。最终综合得分限制在0-100分。</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5"/>
        <w:gridCol w:w="1368"/>
        <w:gridCol w:w="3500"/>
      </w:tblGrid>
      <w:tr w:rsidR="00BA762F" w14:paraId="13F37E38" w14:textId="77777777">
        <w:trPr>
          <w:jc w:val="center"/>
        </w:trPr>
        <w:tc>
          <w:tcPr>
            <w:tcW w:w="2064" w:type="pct"/>
            <w:shd w:val="clear" w:color="auto" w:fill="F2F4F7"/>
            <w:tcMar>
              <w:top w:w="80" w:type="dxa"/>
              <w:left w:w="120" w:type="dxa"/>
              <w:bottom w:w="80" w:type="dxa"/>
              <w:right w:w="120" w:type="dxa"/>
            </w:tcMar>
            <w:vAlign w:val="center"/>
          </w:tcPr>
          <w:p w14:paraId="4E893C28"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评分维度</w:t>
            </w:r>
          </w:p>
        </w:tc>
        <w:tc>
          <w:tcPr>
            <w:tcW w:w="825" w:type="pct"/>
            <w:shd w:val="clear" w:color="auto" w:fill="F2F4F7"/>
            <w:tcMar>
              <w:top w:w="80" w:type="dxa"/>
              <w:left w:w="120" w:type="dxa"/>
              <w:bottom w:w="80" w:type="dxa"/>
              <w:right w:w="120" w:type="dxa"/>
            </w:tcMar>
            <w:vAlign w:val="center"/>
          </w:tcPr>
          <w:p w14:paraId="3E4AE197"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权重</w:t>
            </w:r>
          </w:p>
        </w:tc>
        <w:tc>
          <w:tcPr>
            <w:tcW w:w="2109" w:type="pct"/>
            <w:shd w:val="clear" w:color="auto" w:fill="F2F4F7"/>
            <w:tcMar>
              <w:top w:w="80" w:type="dxa"/>
              <w:left w:w="120" w:type="dxa"/>
              <w:bottom w:w="80" w:type="dxa"/>
              <w:right w:w="120" w:type="dxa"/>
            </w:tcMar>
            <w:vAlign w:val="center"/>
          </w:tcPr>
          <w:p w14:paraId="71D54DEA"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核心依据</w:t>
            </w:r>
          </w:p>
        </w:tc>
      </w:tr>
      <w:tr w:rsidR="00BA762F" w14:paraId="02C86A5E" w14:textId="77777777">
        <w:trPr>
          <w:jc w:val="center"/>
        </w:trPr>
        <w:tc>
          <w:tcPr>
            <w:tcW w:w="2064" w:type="pct"/>
            <w:tcMar>
              <w:top w:w="80" w:type="dxa"/>
              <w:left w:w="120" w:type="dxa"/>
              <w:bottom w:w="80" w:type="dxa"/>
              <w:right w:w="120" w:type="dxa"/>
            </w:tcMar>
            <w:vAlign w:val="center"/>
          </w:tcPr>
          <w:p w14:paraId="4611BC65"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造价估算与经济性</w:t>
            </w:r>
          </w:p>
        </w:tc>
        <w:tc>
          <w:tcPr>
            <w:tcW w:w="825" w:type="pct"/>
            <w:tcMar>
              <w:top w:w="80" w:type="dxa"/>
              <w:left w:w="120" w:type="dxa"/>
              <w:bottom w:w="80" w:type="dxa"/>
              <w:right w:w="120" w:type="dxa"/>
            </w:tcMar>
            <w:vAlign w:val="center"/>
          </w:tcPr>
          <w:p w14:paraId="02652E72"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35%</w:t>
            </w:r>
          </w:p>
        </w:tc>
        <w:tc>
          <w:tcPr>
            <w:tcW w:w="2109" w:type="pct"/>
            <w:tcMar>
              <w:top w:w="80" w:type="dxa"/>
              <w:left w:w="120" w:type="dxa"/>
              <w:bottom w:w="80" w:type="dxa"/>
              <w:right w:w="120" w:type="dxa"/>
            </w:tcMar>
            <w:vAlign w:val="center"/>
          </w:tcPr>
          <w:p w14:paraId="6CC8F517"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线路长度</w:t>
            </w:r>
            <w:r>
              <w:rPr>
                <w:rStyle w:val="font31"/>
                <w:rFonts w:ascii="方正仿宋_GBK" w:eastAsia="方正仿宋_GBK" w:hAnsi="方正仿宋_GBK" w:cs="方正仿宋_GBK" w:hint="eastAsia"/>
                <w:lang w:bidi="ar"/>
              </w:rPr>
              <w:br/>
              <w:t>电缆长度</w:t>
            </w:r>
            <w:r>
              <w:rPr>
                <w:rStyle w:val="font31"/>
                <w:rFonts w:ascii="方正仿宋_GBK" w:eastAsia="方正仿宋_GBK" w:hAnsi="方正仿宋_GBK" w:cs="方正仿宋_GBK" w:hint="eastAsia"/>
                <w:lang w:bidi="ar"/>
              </w:rPr>
              <w:br/>
              <w:t>单路接入容来给你</w:t>
            </w:r>
          </w:p>
        </w:tc>
      </w:tr>
      <w:tr w:rsidR="00BA762F" w14:paraId="2A1BC16C" w14:textId="77777777">
        <w:trPr>
          <w:jc w:val="center"/>
        </w:trPr>
        <w:tc>
          <w:tcPr>
            <w:tcW w:w="2064" w:type="pct"/>
            <w:tcMar>
              <w:top w:w="80" w:type="dxa"/>
              <w:left w:w="120" w:type="dxa"/>
              <w:bottom w:w="80" w:type="dxa"/>
              <w:right w:w="120" w:type="dxa"/>
            </w:tcMar>
            <w:vAlign w:val="center"/>
          </w:tcPr>
          <w:p w14:paraId="3BD2711D"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供电可靠性与运行裕度</w:t>
            </w:r>
          </w:p>
        </w:tc>
        <w:tc>
          <w:tcPr>
            <w:tcW w:w="825" w:type="pct"/>
            <w:tcMar>
              <w:top w:w="80" w:type="dxa"/>
              <w:left w:w="120" w:type="dxa"/>
              <w:bottom w:w="80" w:type="dxa"/>
              <w:right w:w="120" w:type="dxa"/>
            </w:tcMar>
            <w:vAlign w:val="center"/>
          </w:tcPr>
          <w:p w14:paraId="1E4A7685"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35%</w:t>
            </w:r>
          </w:p>
        </w:tc>
        <w:tc>
          <w:tcPr>
            <w:tcW w:w="2109" w:type="pct"/>
            <w:tcMar>
              <w:top w:w="80" w:type="dxa"/>
              <w:left w:w="120" w:type="dxa"/>
              <w:bottom w:w="80" w:type="dxa"/>
              <w:right w:w="120" w:type="dxa"/>
            </w:tcMar>
            <w:vAlign w:val="center"/>
          </w:tcPr>
          <w:p w14:paraId="7C5329B5"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馈线/主变可开放容量</w:t>
            </w:r>
            <w:r>
              <w:rPr>
                <w:rStyle w:val="font31"/>
                <w:rFonts w:ascii="方正仿宋_GBK" w:eastAsia="方正仿宋_GBK" w:hAnsi="方正仿宋_GBK" w:cs="方正仿宋_GBK" w:hint="eastAsia"/>
                <w:lang w:bidi="ar"/>
              </w:rPr>
              <w:br/>
              <w:t>馈线/主变负载率</w:t>
            </w:r>
            <w:r>
              <w:rPr>
                <w:rStyle w:val="font31"/>
                <w:rFonts w:ascii="方正仿宋_GBK" w:eastAsia="方正仿宋_GBK" w:hAnsi="方正仿宋_GBK" w:cs="方正仿宋_GBK" w:hint="eastAsia"/>
                <w:lang w:bidi="ar"/>
              </w:rPr>
              <w:br/>
              <w:t>电源结构</w:t>
            </w:r>
            <w:r>
              <w:rPr>
                <w:rStyle w:val="font31"/>
                <w:rFonts w:ascii="方正仿宋_GBK" w:eastAsia="方正仿宋_GBK" w:hAnsi="方正仿宋_GBK" w:cs="方正仿宋_GBK" w:hint="eastAsia"/>
                <w:lang w:bidi="ar"/>
              </w:rPr>
              <w:br/>
              <w:t>运行方式</w:t>
            </w:r>
            <w:r>
              <w:rPr>
                <w:rStyle w:val="font31"/>
                <w:rFonts w:ascii="方正仿宋_GBK" w:eastAsia="方正仿宋_GBK" w:hAnsi="方正仿宋_GBK" w:cs="方正仿宋_GBK" w:hint="eastAsia"/>
                <w:lang w:bidi="ar"/>
              </w:rPr>
              <w:br/>
              <w:t>N-1校验</w:t>
            </w:r>
          </w:p>
        </w:tc>
      </w:tr>
      <w:tr w:rsidR="00BA762F" w14:paraId="3B67288F" w14:textId="77777777">
        <w:trPr>
          <w:jc w:val="center"/>
        </w:trPr>
        <w:tc>
          <w:tcPr>
            <w:tcW w:w="2064" w:type="pct"/>
            <w:tcMar>
              <w:top w:w="80" w:type="dxa"/>
              <w:left w:w="120" w:type="dxa"/>
              <w:bottom w:w="80" w:type="dxa"/>
              <w:right w:w="120" w:type="dxa"/>
            </w:tcMar>
            <w:vAlign w:val="center"/>
          </w:tcPr>
          <w:p w14:paraId="5FC18637"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设备健康与可持续性</w:t>
            </w:r>
          </w:p>
        </w:tc>
        <w:tc>
          <w:tcPr>
            <w:tcW w:w="825" w:type="pct"/>
            <w:tcMar>
              <w:top w:w="80" w:type="dxa"/>
              <w:left w:w="120" w:type="dxa"/>
              <w:bottom w:w="80" w:type="dxa"/>
              <w:right w:w="120" w:type="dxa"/>
            </w:tcMar>
            <w:vAlign w:val="center"/>
          </w:tcPr>
          <w:p w14:paraId="4CB67803"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15%</w:t>
            </w:r>
          </w:p>
        </w:tc>
        <w:tc>
          <w:tcPr>
            <w:tcW w:w="2109" w:type="pct"/>
            <w:tcMar>
              <w:top w:w="80" w:type="dxa"/>
              <w:left w:w="120" w:type="dxa"/>
              <w:bottom w:w="80" w:type="dxa"/>
              <w:right w:w="120" w:type="dxa"/>
            </w:tcMar>
            <w:vAlign w:val="center"/>
          </w:tcPr>
          <w:p w14:paraId="6C02E248"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设备投运年限</w:t>
            </w:r>
            <w:r>
              <w:rPr>
                <w:rStyle w:val="font31"/>
                <w:rFonts w:ascii="方正仿宋_GBK" w:eastAsia="方正仿宋_GBK" w:hAnsi="方正仿宋_GBK" w:cs="方正仿宋_GBK" w:hint="eastAsia"/>
                <w:lang w:bidi="ar"/>
              </w:rPr>
              <w:br/>
              <w:t>缺陷情况</w:t>
            </w:r>
            <w:r>
              <w:rPr>
                <w:rStyle w:val="font31"/>
                <w:rFonts w:ascii="方正仿宋_GBK" w:eastAsia="方正仿宋_GBK" w:hAnsi="方正仿宋_GBK" w:cs="方正仿宋_GBK" w:hint="eastAsia"/>
                <w:lang w:bidi="ar"/>
              </w:rPr>
              <w:br/>
              <w:t>检修频次</w:t>
            </w:r>
            <w:r>
              <w:rPr>
                <w:rStyle w:val="font31"/>
                <w:rFonts w:ascii="方正仿宋_GBK" w:eastAsia="方正仿宋_GBK" w:hAnsi="方正仿宋_GBK" w:cs="方正仿宋_GBK" w:hint="eastAsia"/>
                <w:lang w:bidi="ar"/>
              </w:rPr>
              <w:br/>
              <w:t>历史停电情况</w:t>
            </w:r>
          </w:p>
        </w:tc>
      </w:tr>
      <w:tr w:rsidR="00BA762F" w14:paraId="4617D2D3" w14:textId="77777777">
        <w:trPr>
          <w:jc w:val="center"/>
        </w:trPr>
        <w:tc>
          <w:tcPr>
            <w:tcW w:w="2064" w:type="pct"/>
            <w:tcMar>
              <w:top w:w="80" w:type="dxa"/>
              <w:left w:w="120" w:type="dxa"/>
              <w:bottom w:w="80" w:type="dxa"/>
              <w:right w:w="120" w:type="dxa"/>
            </w:tcMar>
            <w:vAlign w:val="center"/>
          </w:tcPr>
          <w:p w14:paraId="72201686"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施工可实施性</w:t>
            </w:r>
          </w:p>
        </w:tc>
        <w:tc>
          <w:tcPr>
            <w:tcW w:w="825" w:type="pct"/>
            <w:tcMar>
              <w:top w:w="80" w:type="dxa"/>
              <w:left w:w="120" w:type="dxa"/>
              <w:bottom w:w="80" w:type="dxa"/>
              <w:right w:w="120" w:type="dxa"/>
            </w:tcMar>
            <w:vAlign w:val="center"/>
          </w:tcPr>
          <w:p w14:paraId="02DD939C"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15%</w:t>
            </w:r>
          </w:p>
        </w:tc>
        <w:tc>
          <w:tcPr>
            <w:tcW w:w="2109" w:type="pct"/>
            <w:tcMar>
              <w:top w:w="80" w:type="dxa"/>
              <w:left w:w="120" w:type="dxa"/>
              <w:bottom w:w="80" w:type="dxa"/>
              <w:right w:w="120" w:type="dxa"/>
            </w:tcMar>
            <w:vAlign w:val="center"/>
          </w:tcPr>
          <w:p w14:paraId="3E9A905C"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备用间隔</w:t>
            </w:r>
            <w:r>
              <w:rPr>
                <w:rStyle w:val="font31"/>
                <w:rFonts w:ascii="方正仿宋_GBK" w:eastAsia="方正仿宋_GBK" w:hAnsi="方正仿宋_GBK" w:cs="方正仿宋_GBK" w:hint="eastAsia"/>
                <w:lang w:bidi="ar"/>
              </w:rPr>
              <w:br/>
              <w:t>线路类型</w:t>
            </w:r>
            <w:r>
              <w:rPr>
                <w:rStyle w:val="font31"/>
                <w:rFonts w:ascii="方正仿宋_GBK" w:eastAsia="方正仿宋_GBK" w:hAnsi="方正仿宋_GBK" w:cs="方正仿宋_GBK" w:hint="eastAsia"/>
                <w:lang w:bidi="ar"/>
              </w:rPr>
              <w:br/>
              <w:t>负荷切割评估</w:t>
            </w:r>
          </w:p>
        </w:tc>
      </w:tr>
    </w:tbl>
    <w:p w14:paraId="0AE803C7"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（1）造价估算与经济性（35%）</w:t>
      </w:r>
    </w:p>
    <w:p w14:paraId="51E87DBE"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造价估算与经济性评分=最低初估造价/本方案初估造价×100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6492"/>
      </w:tblGrid>
      <w:tr w:rsidR="00BA762F" w14:paraId="3DE99157" w14:textId="77777777">
        <w:trPr>
          <w:jc w:val="center"/>
        </w:trPr>
        <w:tc>
          <w:tcPr>
            <w:tcW w:w="1087" w:type="pct"/>
            <w:shd w:val="clear" w:color="auto" w:fill="F2F4F7"/>
            <w:tcMar>
              <w:top w:w="80" w:type="dxa"/>
              <w:left w:w="120" w:type="dxa"/>
              <w:bottom w:w="80" w:type="dxa"/>
              <w:right w:w="120" w:type="dxa"/>
            </w:tcMar>
            <w:vAlign w:val="center"/>
          </w:tcPr>
          <w:p w14:paraId="50575246"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lastRenderedPageBreak/>
              <w:t>周边电源点接入造价估算项</w:t>
            </w:r>
          </w:p>
        </w:tc>
        <w:tc>
          <w:tcPr>
            <w:tcW w:w="3912" w:type="pct"/>
            <w:shd w:val="clear" w:color="auto" w:fill="F2F4F7"/>
            <w:tcMar>
              <w:top w:w="80" w:type="dxa"/>
              <w:left w:w="120" w:type="dxa"/>
              <w:bottom w:w="80" w:type="dxa"/>
              <w:right w:w="120" w:type="dxa"/>
            </w:tcMar>
            <w:vAlign w:val="center"/>
          </w:tcPr>
          <w:p w14:paraId="73C87A39"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量化规则/基础分</w:t>
            </w:r>
          </w:p>
        </w:tc>
      </w:tr>
      <w:tr w:rsidR="00BA762F" w14:paraId="20E9FD6C" w14:textId="77777777">
        <w:trPr>
          <w:jc w:val="center"/>
        </w:trPr>
        <w:tc>
          <w:tcPr>
            <w:tcW w:w="1087" w:type="pct"/>
            <w:tcMar>
              <w:top w:w="80" w:type="dxa"/>
              <w:left w:w="120" w:type="dxa"/>
              <w:bottom w:w="80" w:type="dxa"/>
              <w:right w:w="120" w:type="dxa"/>
            </w:tcMar>
            <w:vAlign w:val="center"/>
          </w:tcPr>
          <w:p w14:paraId="73BF4A9E"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初估造价计算</w:t>
            </w:r>
          </w:p>
        </w:tc>
        <w:tc>
          <w:tcPr>
            <w:tcW w:w="3912" w:type="pct"/>
            <w:tcMar>
              <w:top w:w="80" w:type="dxa"/>
              <w:left w:w="120" w:type="dxa"/>
              <w:bottom w:w="80" w:type="dxa"/>
              <w:right w:w="120" w:type="dxa"/>
            </w:tcMar>
            <w:vAlign w:val="center"/>
          </w:tcPr>
          <w:p w14:paraId="60384614"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计算公式：</w:t>
            </w:r>
            <w:r>
              <w:rPr>
                <w:rStyle w:val="font31"/>
                <w:rFonts w:ascii="方正仿宋_GBK" w:eastAsia="方正仿宋_GBK" w:hAnsi="方正仿宋_GBK" w:cs="方正仿宋_GBK" w:hint="eastAsia"/>
                <w:lang w:bidi="ar"/>
              </w:rPr>
              <w:br/>
              <w:t>初估造价=线路工程费+接入设备费用+环网柜/开关柜接入设备费用（变电站新出线）</w:t>
            </w:r>
            <w:r>
              <w:rPr>
                <w:rStyle w:val="font31"/>
                <w:rFonts w:ascii="方正仿宋_GBK" w:eastAsia="方正仿宋_GBK" w:hAnsi="方正仿宋_GBK" w:cs="方正仿宋_GBK" w:hint="eastAsia"/>
                <w:lang w:bidi="ar"/>
              </w:rPr>
              <w:br/>
            </w:r>
            <w:r>
              <w:rPr>
                <w:rStyle w:val="font31"/>
                <w:rFonts w:ascii="方正仿宋_GBK" w:eastAsia="方正仿宋_GBK" w:hAnsi="方正仿宋_GBK" w:cs="方正仿宋_GBK" w:hint="eastAsia"/>
                <w:lang w:bidi="ar"/>
              </w:rPr>
              <w:br/>
              <w:t>线路工程费：</w:t>
            </w:r>
            <w:r>
              <w:rPr>
                <w:rStyle w:val="font31"/>
                <w:rFonts w:ascii="方正仿宋_GBK" w:eastAsia="方正仿宋_GBK" w:hAnsi="方正仿宋_GBK" w:cs="方正仿宋_GBK" w:hint="eastAsia"/>
                <w:lang w:bidi="ar"/>
              </w:rPr>
              <w:br/>
              <w:t>普通电缆长度×1800元/米</w:t>
            </w:r>
            <w:r>
              <w:rPr>
                <w:rStyle w:val="font31"/>
                <w:rFonts w:ascii="方正仿宋_GBK" w:eastAsia="方正仿宋_GBK" w:hAnsi="方正仿宋_GBK" w:cs="方正仿宋_GBK" w:hint="eastAsia"/>
                <w:lang w:bidi="ar"/>
              </w:rPr>
              <w:br/>
              <w:t>普通架空长度×500元/米</w:t>
            </w:r>
            <w:r>
              <w:rPr>
                <w:rStyle w:val="font31"/>
                <w:rFonts w:ascii="方正仿宋_GBK" w:eastAsia="方正仿宋_GBK" w:hAnsi="方正仿宋_GBK" w:cs="方正仿宋_GBK" w:hint="eastAsia"/>
                <w:lang w:bidi="ar"/>
              </w:rPr>
              <w:br/>
              <w:t>高容量电缆长度×3500元/米</w:t>
            </w:r>
            <w:r>
              <w:rPr>
                <w:rStyle w:val="font31"/>
                <w:rFonts w:ascii="方正仿宋_GBK" w:eastAsia="方正仿宋_GBK" w:hAnsi="方正仿宋_GBK" w:cs="方正仿宋_GBK" w:hint="eastAsia"/>
                <w:lang w:bidi="ar"/>
              </w:rPr>
              <w:br/>
              <w:t>高容量架空长度×1200元/米</w:t>
            </w:r>
            <w:r>
              <w:rPr>
                <w:rStyle w:val="font31"/>
                <w:rFonts w:ascii="方正仿宋_GBK" w:eastAsia="方正仿宋_GBK" w:hAnsi="方正仿宋_GBK" w:cs="方正仿宋_GBK" w:hint="eastAsia"/>
                <w:lang w:bidi="ar"/>
              </w:rPr>
              <w:br/>
            </w:r>
            <w:r>
              <w:rPr>
                <w:rStyle w:val="font31"/>
                <w:rFonts w:ascii="方正仿宋_GBK" w:eastAsia="方正仿宋_GBK" w:hAnsi="方正仿宋_GBK" w:cs="方正仿宋_GBK" w:hint="eastAsia"/>
                <w:lang w:bidi="ar"/>
              </w:rPr>
              <w:br/>
              <w:t>缺少分段类型时：</w:t>
            </w:r>
            <w:r>
              <w:rPr>
                <w:rStyle w:val="font31"/>
                <w:rFonts w:ascii="方正仿宋_GBK" w:eastAsia="方正仿宋_GBK" w:hAnsi="方正仿宋_GBK" w:cs="方正仿宋_GBK" w:hint="eastAsia"/>
                <w:lang w:bidi="ar"/>
              </w:rPr>
              <w:br/>
              <w:t>若只给一种线路类型，则对应长度全部按该类型计价。</w:t>
            </w:r>
          </w:p>
        </w:tc>
      </w:tr>
      <w:tr w:rsidR="00BA762F" w14:paraId="6758A3F0" w14:textId="77777777">
        <w:trPr>
          <w:trHeight w:val="1897"/>
          <w:jc w:val="center"/>
        </w:trPr>
        <w:tc>
          <w:tcPr>
            <w:tcW w:w="1087" w:type="pct"/>
            <w:tcMar>
              <w:top w:w="80" w:type="dxa"/>
              <w:left w:w="120" w:type="dxa"/>
              <w:bottom w:w="80" w:type="dxa"/>
              <w:right w:w="120" w:type="dxa"/>
            </w:tcMar>
            <w:vAlign w:val="center"/>
          </w:tcPr>
          <w:p w14:paraId="631BF092"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线路工程费</w:t>
            </w:r>
          </w:p>
        </w:tc>
        <w:tc>
          <w:tcPr>
            <w:tcW w:w="3912" w:type="pct"/>
            <w:tcMar>
              <w:top w:w="80" w:type="dxa"/>
              <w:left w:w="120" w:type="dxa"/>
              <w:bottom w:w="80" w:type="dxa"/>
              <w:right w:w="120" w:type="dxa"/>
            </w:tcMar>
            <w:vAlign w:val="center"/>
          </w:tcPr>
          <w:p w14:paraId="24C1A803"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馈线接入</w:t>
            </w:r>
          </w:p>
          <w:p w14:paraId="78F1B01B"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线路工程费=普通电缆长度×1800元/米+普通架空长度×500元/米</w:t>
            </w:r>
            <w:r>
              <w:rPr>
                <w:rStyle w:val="font31"/>
                <w:rFonts w:ascii="方正仿宋_GBK" w:eastAsia="方正仿宋_GBK" w:hAnsi="方正仿宋_GBK" w:cs="方正仿宋_GBK" w:hint="eastAsia"/>
                <w:lang w:bidi="ar"/>
              </w:rPr>
              <w:br/>
              <w:t>接入点设备类型为杆塔：架空线路</w:t>
            </w:r>
            <w:r>
              <w:rPr>
                <w:rStyle w:val="font31"/>
                <w:rFonts w:ascii="方正仿宋_GBK" w:eastAsia="方正仿宋_GBK" w:hAnsi="方正仿宋_GBK" w:cs="方正仿宋_GBK" w:hint="eastAsia"/>
                <w:lang w:bidi="ar"/>
              </w:rPr>
              <w:br/>
              <w:t>接入点设备类型为开关站/环网柜：电缆</w:t>
            </w:r>
          </w:p>
          <w:p w14:paraId="29731A18" w14:textId="77777777" w:rsidR="00BA762F" w:rsidRDefault="00BA762F">
            <w:pPr>
              <w:widowControl/>
              <w:jc w:val="center"/>
              <w:textAlignment w:val="center"/>
              <w:rPr>
                <w:rStyle w:val="font31"/>
                <w:rFonts w:ascii="方正仿宋_GBK" w:eastAsia="方正仿宋_GBK" w:hAnsi="方正仿宋_GBK" w:cs="方正仿宋_GBK"/>
                <w:lang w:bidi="ar"/>
              </w:rPr>
            </w:pPr>
          </w:p>
          <w:p w14:paraId="3B79F68F"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变电站站新出线</w:t>
            </w:r>
          </w:p>
          <w:p w14:paraId="1850CC13"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线路工程费=普通电缆长度×3500元/米+普通架空长度×1200元/米</w:t>
            </w:r>
            <w:r>
              <w:rPr>
                <w:rStyle w:val="font31"/>
                <w:rFonts w:ascii="方正仿宋_GBK" w:eastAsia="方正仿宋_GBK" w:hAnsi="方正仿宋_GBK" w:cs="方正仿宋_GBK" w:hint="eastAsia"/>
                <w:lang w:bidi="ar"/>
              </w:rPr>
              <w:br/>
              <w:t>变电站区域分类：城市地区：电缆；农村地区：架空；</w:t>
            </w:r>
          </w:p>
        </w:tc>
      </w:tr>
      <w:tr w:rsidR="00BA762F" w14:paraId="2B70F0D6" w14:textId="77777777">
        <w:trPr>
          <w:jc w:val="center"/>
        </w:trPr>
        <w:tc>
          <w:tcPr>
            <w:tcW w:w="1087" w:type="pct"/>
            <w:tcMar>
              <w:top w:w="80" w:type="dxa"/>
              <w:left w:w="120" w:type="dxa"/>
              <w:bottom w:w="80" w:type="dxa"/>
              <w:right w:w="120" w:type="dxa"/>
            </w:tcMar>
            <w:vAlign w:val="center"/>
          </w:tcPr>
          <w:p w14:paraId="5E3D2AF3"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接入设备费用</w:t>
            </w:r>
          </w:p>
        </w:tc>
        <w:tc>
          <w:tcPr>
            <w:tcW w:w="3912" w:type="pct"/>
            <w:tcMar>
              <w:top w:w="80" w:type="dxa"/>
              <w:left w:w="120" w:type="dxa"/>
              <w:bottom w:w="80" w:type="dxa"/>
              <w:right w:w="120" w:type="dxa"/>
            </w:tcMar>
            <w:vAlign w:val="center"/>
          </w:tcPr>
          <w:p w14:paraId="3C95C96B"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报装容量</w:t>
            </w:r>
          </w:p>
          <w:p w14:paraId="17A1FC91"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馈线接入</w:t>
            </w:r>
            <w:r>
              <w:rPr>
                <w:rStyle w:val="font31"/>
                <w:rFonts w:ascii="方正仿宋_GBK" w:eastAsia="方正仿宋_GBK" w:hAnsi="方正仿宋_GBK" w:cs="方正仿宋_GBK" w:hint="eastAsia"/>
                <w:lang w:bidi="ar"/>
              </w:rPr>
              <w:br/>
              <w:t>≤800kVA：12万元</w:t>
            </w:r>
            <w:r>
              <w:rPr>
                <w:rStyle w:val="font31"/>
                <w:rFonts w:ascii="方正仿宋_GBK" w:eastAsia="方正仿宋_GBK" w:hAnsi="方正仿宋_GBK" w:cs="方正仿宋_GBK" w:hint="eastAsia"/>
                <w:lang w:bidi="ar"/>
              </w:rPr>
              <w:br/>
              <w:t>800-2000kVA：20万元</w:t>
            </w:r>
            <w:r>
              <w:rPr>
                <w:rStyle w:val="font31"/>
                <w:rFonts w:ascii="方正仿宋_GBK" w:eastAsia="方正仿宋_GBK" w:hAnsi="方正仿宋_GBK" w:cs="方正仿宋_GBK" w:hint="eastAsia"/>
                <w:lang w:bidi="ar"/>
              </w:rPr>
              <w:br/>
              <w:t>2000-5000kVA：45万元</w:t>
            </w:r>
          </w:p>
          <w:p w14:paraId="7D95E46F" w14:textId="77777777" w:rsidR="00BA762F" w:rsidRDefault="00BA762F">
            <w:pPr>
              <w:widowControl/>
              <w:jc w:val="center"/>
              <w:textAlignment w:val="center"/>
              <w:rPr>
                <w:rStyle w:val="font31"/>
                <w:rFonts w:ascii="方正仿宋_GBK" w:eastAsia="方正仿宋_GBK" w:hAnsi="方正仿宋_GBK" w:cs="方正仿宋_GBK"/>
                <w:lang w:bidi="ar"/>
              </w:rPr>
            </w:pPr>
          </w:p>
          <w:p w14:paraId="5DF48E03"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变电站站新出线</w:t>
            </w:r>
          </w:p>
          <w:p w14:paraId="77C1E5DB"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&gt;5000kVA：80万元</w:t>
            </w:r>
          </w:p>
          <w:p w14:paraId="7FA3AA3D"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变电站间隔/开关柜扩建费用：250万元</w:t>
            </w:r>
          </w:p>
        </w:tc>
      </w:tr>
    </w:tbl>
    <w:p w14:paraId="437FE5BF" w14:textId="77777777" w:rsidR="00BA762F" w:rsidRDefault="00BA762F"/>
    <w:p w14:paraId="73A38413"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（2）供电可靠性与运行裕度（35%）</w:t>
      </w:r>
    </w:p>
    <w:p w14:paraId="09736DA1"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lastRenderedPageBreak/>
        <w:t>供电可靠性与裕度评分=（容量+负载率+电源结构与运行方式+N-1校验）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5"/>
        <w:gridCol w:w="4991"/>
      </w:tblGrid>
      <w:tr w:rsidR="00BA762F" w14:paraId="3477E893" w14:textId="77777777">
        <w:trPr>
          <w:trHeight w:val="612"/>
          <w:jc w:val="center"/>
        </w:trPr>
        <w:tc>
          <w:tcPr>
            <w:tcW w:w="3683" w:type="dxa"/>
            <w:shd w:val="clear" w:color="auto" w:fill="F2F4F7"/>
            <w:vAlign w:val="center"/>
          </w:tcPr>
          <w:p w14:paraId="0B8BC833"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供电可靠性与运行裕度</w:t>
            </w:r>
          </w:p>
        </w:tc>
        <w:tc>
          <w:tcPr>
            <w:tcW w:w="5559" w:type="dxa"/>
            <w:shd w:val="clear" w:color="auto" w:fill="F2F4F7"/>
            <w:vAlign w:val="center"/>
          </w:tcPr>
          <w:p w14:paraId="56EFB55F"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量化规则/分数</w:t>
            </w:r>
          </w:p>
        </w:tc>
      </w:tr>
      <w:tr w:rsidR="00BA762F" w14:paraId="13C805BD" w14:textId="77777777">
        <w:trPr>
          <w:jc w:val="center"/>
        </w:trPr>
        <w:tc>
          <w:tcPr>
            <w:tcW w:w="3683" w:type="dxa"/>
            <w:vAlign w:val="center"/>
          </w:tcPr>
          <w:p w14:paraId="789EF6DE"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容量（40分）</w:t>
            </w:r>
          </w:p>
        </w:tc>
        <w:tc>
          <w:tcPr>
            <w:tcW w:w="5559" w:type="dxa"/>
            <w:vAlign w:val="center"/>
          </w:tcPr>
          <w:p w14:paraId="49547F9A"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计算口径：</w:t>
            </w:r>
            <w:r>
              <w:rPr>
                <w:rStyle w:val="font31"/>
                <w:rFonts w:ascii="方正仿宋_GBK" w:eastAsia="方正仿宋_GBK" w:hAnsi="方正仿宋_GBK" w:cs="方正仿宋_GBK" w:hint="eastAsia"/>
                <w:lang w:bidi="ar"/>
              </w:rPr>
              <w:br/>
              <w:t>馈线容量裕度率=馈线可开放容量/本路接入容量</w:t>
            </w:r>
            <w:r>
              <w:rPr>
                <w:rStyle w:val="font31"/>
                <w:rFonts w:ascii="方正仿宋_GBK" w:eastAsia="方正仿宋_GBK" w:hAnsi="方正仿宋_GBK" w:cs="方正仿宋_GBK" w:hint="eastAsia"/>
                <w:lang w:bidi="ar"/>
              </w:rPr>
              <w:br/>
              <w:t>主变容量裕度率=主变可开放容量/本路接入容量</w:t>
            </w:r>
            <w:r>
              <w:rPr>
                <w:rStyle w:val="font31"/>
                <w:rFonts w:ascii="方正仿宋_GBK" w:eastAsia="方正仿宋_GBK" w:hAnsi="方正仿宋_GBK" w:cs="方正仿宋_GBK" w:hint="eastAsia"/>
                <w:lang w:bidi="ar"/>
              </w:rPr>
              <w:br/>
              <w:t>取两者较低值评分</w:t>
            </w:r>
            <w:r>
              <w:rPr>
                <w:rStyle w:val="font31"/>
                <w:rFonts w:ascii="方正仿宋_GBK" w:eastAsia="方正仿宋_GBK" w:hAnsi="方正仿宋_GBK" w:cs="方正仿宋_GBK" w:hint="eastAsia"/>
                <w:lang w:bidi="ar"/>
              </w:rPr>
              <w:br/>
              <w:t>分值：</w:t>
            </w:r>
            <w:r>
              <w:rPr>
                <w:rStyle w:val="font31"/>
                <w:rFonts w:ascii="方正仿宋_GBK" w:eastAsia="方正仿宋_GBK" w:hAnsi="方正仿宋_GBK" w:cs="方正仿宋_GBK" w:hint="eastAsia"/>
                <w:lang w:bidi="ar"/>
              </w:rPr>
              <w:br/>
              <w:t>&gt;=2.0：40</w:t>
            </w:r>
            <w:r>
              <w:rPr>
                <w:rStyle w:val="font31"/>
                <w:rFonts w:ascii="方正仿宋_GBK" w:eastAsia="方正仿宋_GBK" w:hAnsi="方正仿宋_GBK" w:cs="方正仿宋_GBK" w:hint="eastAsia"/>
                <w:lang w:bidi="ar"/>
              </w:rPr>
              <w:br/>
              <w:t>1.5-2.0：</w:t>
            </w:r>
            <w:r>
              <w:rPr>
                <w:rStyle w:val="font31"/>
                <w:rFonts w:ascii="方正仿宋_GBK" w:eastAsia="方正仿宋_GBK" w:hAnsi="方正仿宋_GBK" w:cs="方正仿宋_GBK"/>
                <w:lang w:bidi="ar"/>
              </w:rPr>
              <w:t>30</w:t>
            </w:r>
            <w:r>
              <w:rPr>
                <w:rStyle w:val="font31"/>
                <w:rFonts w:ascii="方正仿宋_GBK" w:eastAsia="方正仿宋_GBK" w:hAnsi="方正仿宋_GBK" w:cs="方正仿宋_GBK" w:hint="eastAsia"/>
                <w:lang w:bidi="ar"/>
              </w:rPr>
              <w:br/>
              <w:t>1.</w:t>
            </w:r>
            <w:r>
              <w:rPr>
                <w:rStyle w:val="font31"/>
                <w:rFonts w:ascii="方正仿宋_GBK" w:eastAsia="方正仿宋_GBK" w:hAnsi="方正仿宋_GBK" w:cs="方正仿宋_GBK"/>
                <w:lang w:bidi="ar"/>
              </w:rPr>
              <w:t>0</w:t>
            </w:r>
            <w:r>
              <w:rPr>
                <w:rStyle w:val="font31"/>
                <w:rFonts w:ascii="方正仿宋_GBK" w:eastAsia="方正仿宋_GBK" w:hAnsi="方正仿宋_GBK" w:cs="方正仿宋_GBK" w:hint="eastAsia"/>
                <w:lang w:bidi="ar"/>
              </w:rPr>
              <w:t>-1.5：</w:t>
            </w:r>
            <w:r>
              <w:rPr>
                <w:rStyle w:val="font31"/>
                <w:rFonts w:ascii="方正仿宋_GBK" w:eastAsia="方正仿宋_GBK" w:hAnsi="方正仿宋_GBK" w:cs="方正仿宋_GBK"/>
                <w:lang w:bidi="ar"/>
              </w:rPr>
              <w:t>15</w:t>
            </w:r>
            <w:r>
              <w:rPr>
                <w:rStyle w:val="font31"/>
                <w:rFonts w:ascii="方正仿宋_GBK" w:eastAsia="方正仿宋_GBK" w:hAnsi="方正仿宋_GBK" w:cs="方正仿宋_GBK" w:hint="eastAsia"/>
                <w:lang w:bidi="ar"/>
              </w:rPr>
              <w:br/>
            </w:r>
            <w:r>
              <w:rPr>
                <w:rStyle w:val="font31"/>
                <w:rFonts w:ascii="方正仿宋_GBK" w:eastAsia="方正仿宋_GBK" w:hAnsi="方正仿宋_GBK" w:cs="方正仿宋_GBK"/>
                <w:lang w:bidi="ar"/>
              </w:rPr>
              <w:t>&lt;</w:t>
            </w:r>
            <w:r>
              <w:rPr>
                <w:rStyle w:val="font31"/>
                <w:rFonts w:ascii="方正仿宋_GBK" w:eastAsia="方正仿宋_GBK" w:hAnsi="方正仿宋_GBK" w:cs="方正仿宋_GBK" w:hint="eastAsia"/>
                <w:lang w:bidi="ar"/>
              </w:rPr>
              <w:t>=1.0：</w:t>
            </w:r>
            <w:r>
              <w:rPr>
                <w:rStyle w:val="font31"/>
                <w:rFonts w:ascii="方正仿宋_GBK" w:eastAsia="方正仿宋_GBK" w:hAnsi="方正仿宋_GBK" w:cs="方正仿宋_GBK"/>
                <w:lang w:bidi="ar"/>
              </w:rPr>
              <w:t>0</w:t>
            </w:r>
          </w:p>
        </w:tc>
      </w:tr>
      <w:tr w:rsidR="00BA762F" w14:paraId="6AA60710" w14:textId="77777777">
        <w:trPr>
          <w:trHeight w:val="1217"/>
          <w:jc w:val="center"/>
        </w:trPr>
        <w:tc>
          <w:tcPr>
            <w:tcW w:w="3683" w:type="dxa"/>
            <w:vAlign w:val="center"/>
          </w:tcPr>
          <w:p w14:paraId="65DDACA8"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负载率（30分）</w:t>
            </w:r>
          </w:p>
        </w:tc>
        <w:tc>
          <w:tcPr>
            <w:tcW w:w="5559" w:type="dxa"/>
            <w:vAlign w:val="center"/>
          </w:tcPr>
          <w:p w14:paraId="3743FC80"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计算口径：</w:t>
            </w:r>
            <w:r>
              <w:rPr>
                <w:rStyle w:val="font31"/>
                <w:rFonts w:ascii="方正仿宋_GBK" w:eastAsia="方正仿宋_GBK" w:hAnsi="方正仿宋_GBK" w:cs="方正仿宋_GBK" w:hint="eastAsia"/>
                <w:lang w:bidi="ar"/>
              </w:rPr>
              <w:br/>
              <w:t>取馈线接入后负载率和主变接入后负载率中的较高值评分</w:t>
            </w:r>
            <w:r>
              <w:rPr>
                <w:rStyle w:val="font31"/>
                <w:rFonts w:ascii="方正仿宋_GBK" w:eastAsia="方正仿宋_GBK" w:hAnsi="方正仿宋_GBK" w:cs="方正仿宋_GBK" w:hint="eastAsia"/>
                <w:lang w:bidi="ar"/>
              </w:rPr>
              <w:br/>
            </w:r>
            <w:r>
              <w:rPr>
                <w:rStyle w:val="font31"/>
                <w:rFonts w:ascii="方正仿宋_GBK" w:eastAsia="方正仿宋_GBK" w:hAnsi="方正仿宋_GBK" w:cs="方正仿宋_GBK" w:hint="eastAsia"/>
                <w:lang w:bidi="ar"/>
              </w:rPr>
              <w:br/>
              <w:t>分值：</w:t>
            </w:r>
            <w:r>
              <w:rPr>
                <w:rStyle w:val="font31"/>
                <w:rFonts w:ascii="方正仿宋_GBK" w:eastAsia="方正仿宋_GBK" w:hAnsi="方正仿宋_GBK" w:cs="方正仿宋_GBK" w:hint="eastAsia"/>
                <w:lang w:bidi="ar"/>
              </w:rPr>
              <w:br/>
              <w:t>&lt;50%：30</w:t>
            </w:r>
            <w:r>
              <w:rPr>
                <w:rStyle w:val="font31"/>
                <w:rFonts w:ascii="方正仿宋_GBK" w:eastAsia="方正仿宋_GBK" w:hAnsi="方正仿宋_GBK" w:cs="方正仿宋_GBK" w:hint="eastAsia"/>
                <w:lang w:bidi="ar"/>
              </w:rPr>
              <w:br/>
              <w:t>50%-6</w:t>
            </w:r>
            <w:r>
              <w:rPr>
                <w:rStyle w:val="font31"/>
                <w:rFonts w:ascii="方正仿宋_GBK" w:eastAsia="方正仿宋_GBK" w:hAnsi="方正仿宋_GBK" w:cs="方正仿宋_GBK"/>
                <w:lang w:bidi="ar"/>
              </w:rPr>
              <w:t>5</w:t>
            </w:r>
            <w:r>
              <w:rPr>
                <w:rStyle w:val="font31"/>
                <w:rFonts w:ascii="方正仿宋_GBK" w:eastAsia="方正仿宋_GBK" w:hAnsi="方正仿宋_GBK" w:cs="方正仿宋_GBK" w:hint="eastAsia"/>
                <w:lang w:bidi="ar"/>
              </w:rPr>
              <w:t>%：</w:t>
            </w:r>
            <w:r>
              <w:rPr>
                <w:rStyle w:val="font31"/>
                <w:rFonts w:ascii="方正仿宋_GBK" w:eastAsia="方正仿宋_GBK" w:hAnsi="方正仿宋_GBK" w:cs="方正仿宋_GBK"/>
                <w:lang w:bidi="ar"/>
              </w:rPr>
              <w:t>20</w:t>
            </w:r>
            <w:r>
              <w:rPr>
                <w:rStyle w:val="font31"/>
                <w:rFonts w:ascii="方正仿宋_GBK" w:eastAsia="方正仿宋_GBK" w:hAnsi="方正仿宋_GBK" w:cs="方正仿宋_GBK" w:hint="eastAsia"/>
                <w:lang w:bidi="ar"/>
              </w:rPr>
              <w:br/>
            </w:r>
            <w:r>
              <w:rPr>
                <w:rStyle w:val="font31"/>
                <w:rFonts w:ascii="方正仿宋_GBK" w:eastAsia="方正仿宋_GBK" w:hAnsi="方正仿宋_GBK" w:cs="方正仿宋_GBK"/>
                <w:lang w:bidi="ar"/>
              </w:rPr>
              <w:t>65</w:t>
            </w:r>
            <w:r>
              <w:rPr>
                <w:rStyle w:val="font31"/>
                <w:rFonts w:ascii="方正仿宋_GBK" w:eastAsia="方正仿宋_GBK" w:hAnsi="方正仿宋_GBK" w:cs="方正仿宋_GBK" w:hint="eastAsia"/>
                <w:lang w:bidi="ar"/>
              </w:rPr>
              <w:t>%-80%：1</w:t>
            </w:r>
            <w:r>
              <w:rPr>
                <w:rStyle w:val="font31"/>
                <w:rFonts w:ascii="方正仿宋_GBK" w:eastAsia="方正仿宋_GBK" w:hAnsi="方正仿宋_GBK" w:cs="方正仿宋_GBK"/>
                <w:lang w:bidi="ar"/>
              </w:rPr>
              <w:t>0</w:t>
            </w:r>
            <w:r>
              <w:rPr>
                <w:rStyle w:val="font31"/>
                <w:rFonts w:ascii="方正仿宋_GBK" w:eastAsia="方正仿宋_GBK" w:hAnsi="方正仿宋_GBK" w:cs="方正仿宋_GBK" w:hint="eastAsia"/>
                <w:lang w:bidi="ar"/>
              </w:rPr>
              <w:br/>
              <w:t>&gt;=</w:t>
            </w:r>
            <w:r>
              <w:rPr>
                <w:rStyle w:val="font31"/>
                <w:rFonts w:ascii="方正仿宋_GBK" w:eastAsia="方正仿宋_GBK" w:hAnsi="方正仿宋_GBK" w:cs="方正仿宋_GBK"/>
                <w:lang w:bidi="ar"/>
              </w:rPr>
              <w:t>80</w:t>
            </w:r>
            <w:r>
              <w:rPr>
                <w:rStyle w:val="font31"/>
                <w:rFonts w:ascii="方正仿宋_GBK" w:eastAsia="方正仿宋_GBK" w:hAnsi="方正仿宋_GBK" w:cs="方正仿宋_GBK" w:hint="eastAsia"/>
                <w:lang w:bidi="ar"/>
              </w:rPr>
              <w:t>%：0</w:t>
            </w:r>
          </w:p>
        </w:tc>
      </w:tr>
      <w:tr w:rsidR="00BA762F" w14:paraId="4E69396F" w14:textId="77777777">
        <w:trPr>
          <w:jc w:val="center"/>
        </w:trPr>
        <w:tc>
          <w:tcPr>
            <w:tcW w:w="3683" w:type="dxa"/>
            <w:vAlign w:val="center"/>
          </w:tcPr>
          <w:p w14:paraId="5FC19B33"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电源结构与运行方式（20分）</w:t>
            </w:r>
          </w:p>
        </w:tc>
        <w:tc>
          <w:tcPr>
            <w:tcW w:w="5559" w:type="dxa"/>
            <w:vAlign w:val="center"/>
          </w:tcPr>
          <w:p w14:paraId="58402017"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供电电源维度：10分</w:t>
            </w:r>
            <w:r>
              <w:rPr>
                <w:rStyle w:val="font31"/>
                <w:rFonts w:ascii="方正仿宋_GBK" w:eastAsia="方正仿宋_GBK" w:hAnsi="方正仿宋_GBK" w:cs="方正仿宋_GBK" w:hint="eastAsia"/>
                <w:lang w:bidi="ar"/>
              </w:rPr>
              <w:br/>
              <w:t>双电源：10</w:t>
            </w:r>
            <w:r>
              <w:rPr>
                <w:rStyle w:val="font31"/>
                <w:rFonts w:ascii="方正仿宋_GBK" w:eastAsia="方正仿宋_GBK" w:hAnsi="方正仿宋_GBK" w:cs="方正仿宋_GBK" w:hint="eastAsia"/>
                <w:lang w:bidi="ar"/>
              </w:rPr>
              <w:br/>
              <w:t>双回路：9</w:t>
            </w:r>
            <w:r>
              <w:rPr>
                <w:rStyle w:val="font31"/>
                <w:rFonts w:ascii="方正仿宋_GBK" w:eastAsia="方正仿宋_GBK" w:hAnsi="方正仿宋_GBK" w:cs="方正仿宋_GBK" w:hint="eastAsia"/>
                <w:lang w:bidi="ar"/>
              </w:rPr>
              <w:br/>
              <w:t>单电源：8</w:t>
            </w:r>
          </w:p>
          <w:p w14:paraId="784B99C4" w14:textId="77777777" w:rsidR="00BA762F" w:rsidRDefault="00BA762F">
            <w:pPr>
              <w:widowControl/>
              <w:jc w:val="center"/>
              <w:textAlignment w:val="center"/>
              <w:rPr>
                <w:rStyle w:val="font31"/>
                <w:rFonts w:ascii="方正仿宋_GBK" w:eastAsia="方正仿宋_GBK" w:hAnsi="方正仿宋_GBK" w:cs="方正仿宋_GBK"/>
                <w:lang w:bidi="ar"/>
              </w:rPr>
            </w:pPr>
          </w:p>
          <w:p w14:paraId="7EF3F236"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运行方式维度：10分</w:t>
            </w:r>
          </w:p>
          <w:p w14:paraId="1F81B927"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同时供电互为备用10分</w:t>
            </w:r>
          </w:p>
          <w:p w14:paraId="39B2D00E"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同时供电9分</w:t>
            </w:r>
          </w:p>
          <w:p w14:paraId="63B8BFA0"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一主一备8分</w:t>
            </w:r>
          </w:p>
          <w:p w14:paraId="281401C3"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一路主供7分</w:t>
            </w:r>
            <w:r>
              <w:rPr>
                <w:rStyle w:val="font31"/>
                <w:rFonts w:ascii="方正仿宋_GBK" w:eastAsia="方正仿宋_GBK" w:hAnsi="方正仿宋_GBK" w:cs="方正仿宋_GBK" w:hint="eastAsia"/>
                <w:lang w:bidi="ar"/>
              </w:rPr>
              <w:br/>
            </w:r>
          </w:p>
          <w:p w14:paraId="4BB25DCB"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说明：</w:t>
            </w:r>
            <w:r>
              <w:rPr>
                <w:rStyle w:val="font31"/>
                <w:rFonts w:ascii="方正仿宋_GBK" w:eastAsia="方正仿宋_GBK" w:hAnsi="方正仿宋_GBK" w:cs="方正仿宋_GBK" w:hint="eastAsia"/>
                <w:lang w:bidi="ar"/>
              </w:rPr>
              <w:br/>
              <w:t>电源结构低于最低要求时，按硬否决规则处理，不在本项重复处理</w:t>
            </w:r>
          </w:p>
        </w:tc>
      </w:tr>
      <w:tr w:rsidR="00BA762F" w14:paraId="57714D80" w14:textId="77777777">
        <w:trPr>
          <w:jc w:val="center"/>
        </w:trPr>
        <w:tc>
          <w:tcPr>
            <w:tcW w:w="3683" w:type="dxa"/>
            <w:vAlign w:val="center"/>
          </w:tcPr>
          <w:p w14:paraId="556CB571"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lastRenderedPageBreak/>
              <w:t>N-1与故障承受能力（10分）</w:t>
            </w:r>
          </w:p>
        </w:tc>
        <w:tc>
          <w:tcPr>
            <w:tcW w:w="5559" w:type="dxa"/>
            <w:vAlign w:val="center"/>
          </w:tcPr>
          <w:p w14:paraId="1786DEEC"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分值：</w:t>
            </w:r>
            <w:r>
              <w:rPr>
                <w:rStyle w:val="font31"/>
                <w:rFonts w:ascii="方正仿宋_GBK" w:eastAsia="方正仿宋_GBK" w:hAnsi="方正仿宋_GBK" w:cs="方正仿宋_GBK" w:hint="eastAsia"/>
                <w:lang w:bidi="ar"/>
              </w:rPr>
              <w:br/>
              <w:t>N-1通过：10</w:t>
            </w:r>
            <w:r>
              <w:rPr>
                <w:rStyle w:val="font31"/>
                <w:rFonts w:ascii="方正仿宋_GBK" w:eastAsia="方正仿宋_GBK" w:hAnsi="方正仿宋_GBK" w:cs="方正仿宋_GBK" w:hint="eastAsia"/>
                <w:lang w:bidi="ar"/>
              </w:rPr>
              <w:br/>
              <w:t>N-1不通过：0</w:t>
            </w:r>
          </w:p>
        </w:tc>
      </w:tr>
    </w:tbl>
    <w:p w14:paraId="2B8AA274"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（3）设备健康与可持续性（15%）</w:t>
      </w:r>
    </w:p>
    <w:p w14:paraId="74EA0627"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设备健康与可持续性评分=（投运年限与状态+缺陷及检修情况+历史停电）</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6"/>
        <w:gridCol w:w="4928"/>
      </w:tblGrid>
      <w:tr w:rsidR="00BA762F" w14:paraId="710B1DB5" w14:textId="77777777">
        <w:trPr>
          <w:jc w:val="center"/>
        </w:trPr>
        <w:tc>
          <w:tcPr>
            <w:tcW w:w="2029" w:type="pct"/>
            <w:shd w:val="clear" w:color="auto" w:fill="F2F4F7"/>
            <w:tcMar>
              <w:top w:w="80" w:type="dxa"/>
              <w:left w:w="120" w:type="dxa"/>
              <w:bottom w:w="80" w:type="dxa"/>
              <w:right w:w="120" w:type="dxa"/>
            </w:tcMar>
            <w:vAlign w:val="center"/>
          </w:tcPr>
          <w:p w14:paraId="5954DEA3"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设备健康与可持续性</w:t>
            </w:r>
          </w:p>
        </w:tc>
        <w:tc>
          <w:tcPr>
            <w:tcW w:w="2970" w:type="pct"/>
            <w:shd w:val="clear" w:color="auto" w:fill="F2F4F7"/>
            <w:tcMar>
              <w:top w:w="80" w:type="dxa"/>
              <w:left w:w="120" w:type="dxa"/>
              <w:bottom w:w="80" w:type="dxa"/>
              <w:right w:w="120" w:type="dxa"/>
            </w:tcMar>
            <w:vAlign w:val="center"/>
          </w:tcPr>
          <w:p w14:paraId="5A8715EE"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量化规则/分数</w:t>
            </w:r>
          </w:p>
        </w:tc>
      </w:tr>
      <w:tr w:rsidR="00BA762F" w14:paraId="5C3A6E02" w14:textId="77777777">
        <w:trPr>
          <w:jc w:val="center"/>
        </w:trPr>
        <w:tc>
          <w:tcPr>
            <w:tcW w:w="2029" w:type="pct"/>
            <w:tcMar>
              <w:top w:w="80" w:type="dxa"/>
              <w:left w:w="120" w:type="dxa"/>
              <w:bottom w:w="80" w:type="dxa"/>
              <w:right w:w="120" w:type="dxa"/>
            </w:tcMar>
            <w:vAlign w:val="center"/>
          </w:tcPr>
          <w:p w14:paraId="711E7B0D"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投运年限与状态（30分）</w:t>
            </w:r>
          </w:p>
        </w:tc>
        <w:tc>
          <w:tcPr>
            <w:tcW w:w="2970" w:type="pct"/>
            <w:tcMar>
              <w:top w:w="80" w:type="dxa"/>
              <w:left w:w="120" w:type="dxa"/>
              <w:bottom w:w="80" w:type="dxa"/>
              <w:right w:w="120" w:type="dxa"/>
            </w:tcMar>
            <w:vAlign w:val="center"/>
          </w:tcPr>
          <w:p w14:paraId="76750A2B"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投运&lt;10年且状态正常：30</w:t>
            </w:r>
            <w:r>
              <w:rPr>
                <w:rStyle w:val="font31"/>
                <w:rFonts w:ascii="方正仿宋_GBK" w:eastAsia="方正仿宋_GBK" w:hAnsi="方正仿宋_GBK" w:cs="方正仿宋_GBK" w:hint="eastAsia"/>
                <w:lang w:bidi="ar"/>
              </w:rPr>
              <w:br/>
              <w:t>10-20年且状态正常：20</w:t>
            </w:r>
            <w:r>
              <w:rPr>
                <w:rStyle w:val="font31"/>
                <w:rFonts w:ascii="方正仿宋_GBK" w:eastAsia="方正仿宋_GBK" w:hAnsi="方正仿宋_GBK" w:cs="方正仿宋_GBK" w:hint="eastAsia"/>
                <w:lang w:bidi="ar"/>
              </w:rPr>
              <w:br/>
              <w:t>20-30年且暂无重大缺陷：10</w:t>
            </w:r>
            <w:r>
              <w:rPr>
                <w:rStyle w:val="font31"/>
                <w:rFonts w:ascii="方正仿宋_GBK" w:eastAsia="方正仿宋_GBK" w:hAnsi="方正仿宋_GBK" w:cs="方正仿宋_GBK" w:hint="eastAsia"/>
                <w:lang w:bidi="ar"/>
              </w:rPr>
              <w:br/>
              <w:t>&gt;30年或明显老化：0</w:t>
            </w:r>
          </w:p>
        </w:tc>
      </w:tr>
      <w:tr w:rsidR="00BA762F" w14:paraId="62903AF9" w14:textId="77777777">
        <w:trPr>
          <w:jc w:val="center"/>
        </w:trPr>
        <w:tc>
          <w:tcPr>
            <w:tcW w:w="2029" w:type="pct"/>
            <w:tcMar>
              <w:top w:w="80" w:type="dxa"/>
              <w:left w:w="120" w:type="dxa"/>
              <w:bottom w:w="80" w:type="dxa"/>
              <w:right w:w="120" w:type="dxa"/>
            </w:tcMar>
            <w:vAlign w:val="center"/>
          </w:tcPr>
          <w:p w14:paraId="1080252D"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缺陷及检修情况（35分）</w:t>
            </w:r>
          </w:p>
        </w:tc>
        <w:tc>
          <w:tcPr>
            <w:tcW w:w="2970" w:type="pct"/>
            <w:tcMar>
              <w:top w:w="80" w:type="dxa"/>
              <w:left w:w="120" w:type="dxa"/>
              <w:bottom w:w="80" w:type="dxa"/>
              <w:right w:w="120" w:type="dxa"/>
            </w:tcMar>
            <w:vAlign w:val="center"/>
          </w:tcPr>
          <w:p w14:paraId="6A7AF8EF"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无缺陷：35</w:t>
            </w:r>
            <w:r>
              <w:rPr>
                <w:rStyle w:val="font31"/>
                <w:rFonts w:ascii="方正仿宋_GBK" w:eastAsia="方正仿宋_GBK" w:hAnsi="方正仿宋_GBK" w:cs="方正仿宋_GBK" w:hint="eastAsia"/>
                <w:lang w:bidi="ar"/>
              </w:rPr>
              <w:br/>
              <w:t>一般缺陷且有检修计划：25</w:t>
            </w:r>
            <w:r>
              <w:rPr>
                <w:rStyle w:val="font31"/>
                <w:rFonts w:ascii="方正仿宋_GBK" w:eastAsia="方正仿宋_GBK" w:hAnsi="方正仿宋_GBK" w:cs="方正仿宋_GBK" w:hint="eastAsia"/>
                <w:lang w:bidi="ar"/>
              </w:rPr>
              <w:br/>
              <w:t>重要缺陷且有检修计划：10</w:t>
            </w:r>
            <w:r>
              <w:rPr>
                <w:rStyle w:val="font31"/>
                <w:rFonts w:ascii="方正仿宋_GBK" w:eastAsia="方正仿宋_GBK" w:hAnsi="方正仿宋_GBK" w:cs="方正仿宋_GBK" w:hint="eastAsia"/>
                <w:lang w:bidi="ar"/>
              </w:rPr>
              <w:br/>
              <w:t>重大缺陷但无检修计划：0</w:t>
            </w:r>
          </w:p>
        </w:tc>
      </w:tr>
      <w:tr w:rsidR="00BA762F" w14:paraId="761E276D" w14:textId="77777777">
        <w:trPr>
          <w:jc w:val="center"/>
        </w:trPr>
        <w:tc>
          <w:tcPr>
            <w:tcW w:w="2029" w:type="pct"/>
            <w:tcMar>
              <w:top w:w="80" w:type="dxa"/>
              <w:left w:w="120" w:type="dxa"/>
              <w:bottom w:w="80" w:type="dxa"/>
              <w:right w:w="120" w:type="dxa"/>
            </w:tcMar>
            <w:vAlign w:val="center"/>
          </w:tcPr>
          <w:p w14:paraId="51DF3A89"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历史停电情况（25分）</w:t>
            </w:r>
          </w:p>
        </w:tc>
        <w:tc>
          <w:tcPr>
            <w:tcW w:w="2970" w:type="pct"/>
            <w:tcMar>
              <w:top w:w="80" w:type="dxa"/>
              <w:left w:w="120" w:type="dxa"/>
              <w:bottom w:w="80" w:type="dxa"/>
              <w:right w:w="120" w:type="dxa"/>
            </w:tcMar>
            <w:vAlign w:val="center"/>
          </w:tcPr>
          <w:p w14:paraId="6AD7D3E0"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近一年无非计划停电或仅计划停电：25</w:t>
            </w:r>
            <w:r>
              <w:rPr>
                <w:rStyle w:val="font31"/>
                <w:rFonts w:ascii="方正仿宋_GBK" w:eastAsia="方正仿宋_GBK" w:hAnsi="方正仿宋_GBK" w:cs="方正仿宋_GBK" w:hint="eastAsia"/>
                <w:lang w:bidi="ar"/>
              </w:rPr>
              <w:br/>
              <w:t>非计划停电1次：15</w:t>
            </w:r>
          </w:p>
          <w:p w14:paraId="6C48765F"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非计划停电2次：5</w:t>
            </w:r>
            <w:r>
              <w:rPr>
                <w:rStyle w:val="font31"/>
                <w:rFonts w:ascii="方正仿宋_GBK" w:eastAsia="方正仿宋_GBK" w:hAnsi="方正仿宋_GBK" w:cs="方正仿宋_GBK" w:hint="eastAsia"/>
                <w:lang w:bidi="ar"/>
              </w:rPr>
              <w:br/>
              <w:t>非计划停电&gt;3次或频繁故障停电：0</w:t>
            </w:r>
          </w:p>
        </w:tc>
      </w:tr>
    </w:tbl>
    <w:p w14:paraId="4D0ABE7B"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（4）施工可实施性评分（15%）</w:t>
      </w:r>
    </w:p>
    <w:p w14:paraId="09D129EC"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施工可实施性评分=（备用间隔+线路敷设方式+历史停电）</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2"/>
        <w:gridCol w:w="4637"/>
      </w:tblGrid>
      <w:tr w:rsidR="00BA762F" w14:paraId="6FD2C05E" w14:textId="77777777">
        <w:trPr>
          <w:jc w:val="center"/>
        </w:trPr>
        <w:tc>
          <w:tcPr>
            <w:tcW w:w="2203" w:type="pct"/>
            <w:shd w:val="clear" w:color="auto" w:fill="F2F4F7"/>
            <w:tcMar>
              <w:top w:w="80" w:type="dxa"/>
              <w:left w:w="120" w:type="dxa"/>
              <w:bottom w:w="80" w:type="dxa"/>
              <w:right w:w="120" w:type="dxa"/>
            </w:tcMar>
            <w:vAlign w:val="center"/>
          </w:tcPr>
          <w:p w14:paraId="643AE449"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施工可实施性子项</w:t>
            </w:r>
          </w:p>
        </w:tc>
        <w:tc>
          <w:tcPr>
            <w:tcW w:w="2796" w:type="pct"/>
            <w:shd w:val="clear" w:color="auto" w:fill="F2F4F7"/>
            <w:tcMar>
              <w:top w:w="80" w:type="dxa"/>
              <w:left w:w="120" w:type="dxa"/>
              <w:bottom w:w="80" w:type="dxa"/>
              <w:right w:w="120" w:type="dxa"/>
            </w:tcMar>
            <w:vAlign w:val="center"/>
          </w:tcPr>
          <w:p w14:paraId="6F2645A4" w14:textId="77777777" w:rsidR="00BA762F" w:rsidRDefault="00000000">
            <w:pPr>
              <w:widowControl/>
              <w:jc w:val="center"/>
              <w:textAlignment w:val="center"/>
              <w:rPr>
                <w:rStyle w:val="font31"/>
                <w:rFonts w:ascii="方正仿宋_GBK" w:eastAsia="方正仿宋_GBK" w:hAnsi="方正仿宋_GBK" w:cs="方正仿宋_GBK"/>
                <w:b/>
                <w:bCs/>
                <w:lang w:bidi="ar"/>
              </w:rPr>
            </w:pPr>
            <w:r>
              <w:rPr>
                <w:rStyle w:val="font31"/>
                <w:rFonts w:ascii="方正仿宋_GBK" w:eastAsia="方正仿宋_GBK" w:hAnsi="方正仿宋_GBK" w:cs="方正仿宋_GBK" w:hint="eastAsia"/>
                <w:b/>
                <w:bCs/>
                <w:lang w:bidi="ar"/>
              </w:rPr>
              <w:t>量化规则</w:t>
            </w:r>
          </w:p>
        </w:tc>
      </w:tr>
      <w:tr w:rsidR="00BA762F" w14:paraId="361DF007" w14:textId="77777777">
        <w:trPr>
          <w:jc w:val="center"/>
        </w:trPr>
        <w:tc>
          <w:tcPr>
            <w:tcW w:w="2203" w:type="pct"/>
            <w:tcMar>
              <w:top w:w="80" w:type="dxa"/>
              <w:left w:w="120" w:type="dxa"/>
              <w:bottom w:w="80" w:type="dxa"/>
              <w:right w:w="120" w:type="dxa"/>
            </w:tcMar>
            <w:vAlign w:val="center"/>
          </w:tcPr>
          <w:p w14:paraId="3FDD65D7"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备用间隔（35）</w:t>
            </w:r>
          </w:p>
        </w:tc>
        <w:tc>
          <w:tcPr>
            <w:tcW w:w="2796" w:type="pct"/>
            <w:tcMar>
              <w:top w:w="80" w:type="dxa"/>
              <w:left w:w="120" w:type="dxa"/>
              <w:bottom w:w="80" w:type="dxa"/>
              <w:right w:w="120" w:type="dxa"/>
            </w:tcMar>
            <w:vAlign w:val="center"/>
          </w:tcPr>
          <w:p w14:paraId="37727F8D"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备用间隔&gt;=2：35</w:t>
            </w:r>
            <w:r>
              <w:rPr>
                <w:rStyle w:val="font31"/>
                <w:rFonts w:ascii="方正仿宋_GBK" w:eastAsia="方正仿宋_GBK" w:hAnsi="方正仿宋_GBK" w:cs="方正仿宋_GBK" w:hint="eastAsia"/>
                <w:lang w:bidi="ar"/>
              </w:rPr>
              <w:br/>
              <w:t>备用间隔&gt;=1：15</w:t>
            </w:r>
            <w:r>
              <w:rPr>
                <w:rStyle w:val="font31"/>
                <w:rFonts w:ascii="方正仿宋_GBK" w:eastAsia="方正仿宋_GBK" w:hAnsi="方正仿宋_GBK" w:cs="方正仿宋_GBK" w:hint="eastAsia"/>
                <w:lang w:bidi="ar"/>
              </w:rPr>
              <w:br/>
              <w:t>无备用间隔：0</w:t>
            </w:r>
          </w:p>
        </w:tc>
      </w:tr>
      <w:tr w:rsidR="00BA762F" w14:paraId="01E4CDC2" w14:textId="77777777">
        <w:trPr>
          <w:trHeight w:val="1033"/>
          <w:jc w:val="center"/>
        </w:trPr>
        <w:tc>
          <w:tcPr>
            <w:tcW w:w="2203" w:type="pct"/>
            <w:tcMar>
              <w:top w:w="80" w:type="dxa"/>
              <w:left w:w="120" w:type="dxa"/>
              <w:bottom w:w="80" w:type="dxa"/>
              <w:right w:w="120" w:type="dxa"/>
            </w:tcMar>
            <w:vAlign w:val="center"/>
          </w:tcPr>
          <w:p w14:paraId="6AA664F7"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线路敷设方式（35）</w:t>
            </w:r>
          </w:p>
        </w:tc>
        <w:tc>
          <w:tcPr>
            <w:tcW w:w="2796" w:type="pct"/>
            <w:tcMar>
              <w:top w:w="80" w:type="dxa"/>
              <w:left w:w="120" w:type="dxa"/>
              <w:bottom w:w="80" w:type="dxa"/>
              <w:right w:w="120" w:type="dxa"/>
            </w:tcMar>
            <w:vAlign w:val="center"/>
          </w:tcPr>
          <w:p w14:paraId="4C163A4F"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架空线路：35</w:t>
            </w:r>
            <w:r>
              <w:rPr>
                <w:rStyle w:val="font31"/>
                <w:rFonts w:ascii="方正仿宋_GBK" w:eastAsia="方正仿宋_GBK" w:hAnsi="方正仿宋_GBK" w:cs="方正仿宋_GBK" w:hint="eastAsia"/>
                <w:lang w:bidi="ar"/>
              </w:rPr>
              <w:br/>
              <w:t>电缆线路：25</w:t>
            </w:r>
          </w:p>
        </w:tc>
      </w:tr>
      <w:tr w:rsidR="00BA762F" w14:paraId="18869ADC" w14:textId="77777777">
        <w:trPr>
          <w:trHeight w:val="1033"/>
          <w:jc w:val="center"/>
        </w:trPr>
        <w:tc>
          <w:tcPr>
            <w:tcW w:w="2203" w:type="pct"/>
            <w:tcMar>
              <w:top w:w="80" w:type="dxa"/>
              <w:left w:w="120" w:type="dxa"/>
              <w:bottom w:w="80" w:type="dxa"/>
              <w:right w:w="120" w:type="dxa"/>
            </w:tcMar>
            <w:vAlign w:val="center"/>
          </w:tcPr>
          <w:p w14:paraId="4F1FBBEC"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负荷切割与转供（30）</w:t>
            </w:r>
          </w:p>
        </w:tc>
        <w:tc>
          <w:tcPr>
            <w:tcW w:w="2796" w:type="pct"/>
            <w:tcMar>
              <w:top w:w="80" w:type="dxa"/>
              <w:left w:w="120" w:type="dxa"/>
              <w:bottom w:w="80" w:type="dxa"/>
              <w:right w:w="120" w:type="dxa"/>
            </w:tcMar>
            <w:vAlign w:val="center"/>
          </w:tcPr>
          <w:p w14:paraId="6DDBCF99" w14:textId="77777777" w:rsidR="00BA762F" w:rsidRDefault="00000000">
            <w:pPr>
              <w:widowControl/>
              <w:jc w:val="center"/>
              <w:textAlignment w:val="center"/>
              <w:rPr>
                <w:rStyle w:val="font31"/>
                <w:rFonts w:ascii="方正仿宋_GBK" w:eastAsia="方正仿宋_GBK" w:hAnsi="方正仿宋_GBK" w:cs="方正仿宋_GBK"/>
                <w:lang w:bidi="ar"/>
              </w:rPr>
            </w:pPr>
            <w:r>
              <w:rPr>
                <w:rStyle w:val="font31"/>
                <w:rFonts w:ascii="方正仿宋_GBK" w:eastAsia="方正仿宋_GBK" w:hAnsi="方正仿宋_GBK" w:cs="方正仿宋_GBK" w:hint="eastAsia"/>
                <w:lang w:bidi="ar"/>
              </w:rPr>
              <w:t>无需负荷切割或转供：30</w:t>
            </w:r>
            <w:r>
              <w:rPr>
                <w:rStyle w:val="font31"/>
                <w:rFonts w:ascii="方正仿宋_GBK" w:eastAsia="方正仿宋_GBK" w:hAnsi="方正仿宋_GBK" w:cs="方正仿宋_GBK" w:hint="eastAsia"/>
                <w:lang w:bidi="ar"/>
              </w:rPr>
              <w:br/>
              <w:t>需负荷切割或转供：0</w:t>
            </w:r>
          </w:p>
        </w:tc>
      </w:tr>
    </w:tbl>
    <w:p w14:paraId="73C3A9FC" w14:textId="77777777" w:rsidR="00BA762F" w:rsidRDefault="00000000">
      <w:pPr>
        <w:spacing w:line="560" w:lineRule="exact"/>
        <w:ind w:firstLineChars="200" w:firstLine="480"/>
        <w:outlineLvl w:val="2"/>
        <w:rPr>
          <w:rFonts w:ascii="方正楷体_GBK" w:eastAsia="方正楷体_GBK" w:hAnsi="方正楷体_GBK" w:cs="方正楷体_GBK"/>
          <w:b/>
          <w:bCs/>
          <w:sz w:val="24"/>
        </w:rPr>
      </w:pPr>
      <w:r>
        <w:rPr>
          <w:rFonts w:ascii="方正楷体_GBK" w:eastAsia="方正楷体_GBK" w:hAnsi="方正楷体_GBK" w:cs="方正楷体_GBK" w:hint="eastAsia"/>
          <w:b/>
          <w:bCs/>
          <w:sz w:val="24"/>
        </w:rPr>
        <w:lastRenderedPageBreak/>
        <w:t>（二）方案输出</w:t>
      </w:r>
    </w:p>
    <w:p w14:paraId="345D193D"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1）每种运行方式至少保留输出评分最高的1套，运行方式包括单电源供电、两路电源同时供电（双电源）、两路电源互为备用（双电源）、两路电源一主一备（双电源）、两路电源同时供电（双回路）、两路电源互为备用（双回路）、两路电源一主一备（双回路）。</w:t>
      </w:r>
    </w:p>
    <w:p w14:paraId="0F602D88" w14:textId="77777777" w:rsidR="00BA762F" w:rsidRDefault="00000000">
      <w:pPr>
        <w:widowControl/>
        <w:spacing w:line="560" w:lineRule="exact"/>
        <w:ind w:firstLineChars="200" w:firstLine="480"/>
        <w:rPr>
          <w:rFonts w:ascii="方正仿宋_GBK" w:eastAsia="方正仿宋_GBK" w:hAnsi="方正仿宋_GBK" w:cs="方正仿宋_GBK"/>
          <w:sz w:val="24"/>
        </w:rPr>
      </w:pPr>
      <w:r>
        <w:rPr>
          <w:rFonts w:ascii="方正仿宋_GBK" w:eastAsia="方正仿宋_GBK" w:hAnsi="方正仿宋_GBK" w:cs="方正仿宋_GBK" w:hint="eastAsia"/>
          <w:sz w:val="24"/>
        </w:rPr>
        <w:t>（2）按评分高低输出不超过10套方案。</w:t>
      </w:r>
    </w:p>
    <w:sectPr w:rsidR="00BA762F">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subsetted="1" w:fontKey="{91D3ED53-DC55-334B-88B9-ACC5A27D1DC2}"/>
  </w:font>
  <w:font w:name="宋体">
    <w:altName w:val="SimSun"/>
    <w:panose1 w:val="02010600030101010101"/>
    <w:charset w:val="86"/>
    <w:family w:val="auto"/>
    <w:pitch w:val="variable"/>
    <w:sig w:usb0="00000203" w:usb1="288F0000" w:usb2="00000016" w:usb3="00000000" w:csb0="00040001" w:csb1="00000000"/>
    <w:embedRegular r:id="rId2" w:subsetted="1" w:fontKey="{FAE48D19-44BD-FB4F-88AE-A3ECB770B1EB}"/>
  </w:font>
  <w:font w:name="Arial">
    <w:panose1 w:val="020B0604020202020204"/>
    <w:charset w:val="00"/>
    <w:family w:val="swiss"/>
    <w:pitch w:val="variable"/>
    <w:sig w:usb0="E0002A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方正小标宋_GBK">
    <w:panose1 w:val="020B0604020202020204"/>
    <w:charset w:val="86"/>
    <w:family w:val="script"/>
    <w:pitch w:val="default"/>
    <w:sig w:usb0="A00002BF" w:usb1="38CF7CFA" w:usb2="00082016" w:usb3="00000000" w:csb0="00040001" w:csb1="00000000"/>
    <w:embedBold r:id="rId3" w:subsetted="1" w:fontKey="{44FBE2DA-8596-8B45-BE13-AD99760D5915}"/>
  </w:font>
  <w:font w:name="黑体">
    <w:altName w:val="SimHei"/>
    <w:panose1 w:val="02010609060101010101"/>
    <w:charset w:val="86"/>
    <w:family w:val="modern"/>
    <w:pitch w:val="fixed"/>
    <w:sig w:usb0="800002BF" w:usb1="38CF7CFA" w:usb2="00000016" w:usb3="00000000" w:csb0="00040001" w:csb1="00000000"/>
    <w:embedRegular r:id="rId4" w:subsetted="1" w:fontKey="{059E6A15-153C-A949-B5D0-FFEE78E7DC86}"/>
  </w:font>
  <w:font w:name="方正仿宋_GBK">
    <w:panose1 w:val="020B0604020202020204"/>
    <w:charset w:val="86"/>
    <w:family w:val="script"/>
    <w:pitch w:val="default"/>
    <w:sig w:usb0="A00002BF" w:usb1="38CF7CFA" w:usb2="00082016" w:usb3="00000000" w:csb0="00040001" w:csb1="00000000"/>
    <w:embedRegular r:id="rId5" w:subsetted="1" w:fontKey="{EB016DDB-1B59-9447-9AE8-06452BF89DD4}"/>
    <w:embedBold r:id="rId6" w:subsetted="1" w:fontKey="{D42EA40D-498C-C34E-B1B8-76DF890CC4E4}"/>
  </w:font>
  <w:font w:name="方正黑体_GBK">
    <w:charset w:val="86"/>
    <w:family w:val="script"/>
    <w:pitch w:val="default"/>
    <w:sig w:usb0="A00002BF" w:usb1="38CF7CFA" w:usb2="00082016" w:usb3="00000000" w:csb0="00040001" w:csb1="00000000"/>
  </w:font>
  <w:font w:name="方正楷体_GB2312">
    <w:charset w:val="86"/>
    <w:family w:val="auto"/>
    <w:pitch w:val="default"/>
    <w:sig w:usb0="A00002BF" w:usb1="184F6CFA" w:usb2="00000012" w:usb3="00000000" w:csb0="00040001" w:csb1="00000000"/>
    <w:embedBold r:id="rId7" w:subsetted="1" w:fontKey="{AD1A7197-62B9-CB47-85F4-957046581D35}"/>
  </w:font>
  <w:font w:name="方正楷体_GBK">
    <w:altName w:val="微软雅黑"/>
    <w:panose1 w:val="020B0604020202020204"/>
    <w:charset w:val="86"/>
    <w:family w:val="script"/>
    <w:pitch w:val="default"/>
    <w:sig w:usb0="00000000" w:usb1="00000000" w:usb2="0000001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embedTrueTypeFonts/>
  <w:saveSubsetFonts/>
  <w:bordersDoNotSurroundHeader/>
  <w:bordersDoNotSurroundFooter/>
  <w:hideSpellingErrors/>
  <w:hideGrammaticalErrors/>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00032E20"/>
    <w:rsid w:val="000E4DD0"/>
    <w:rsid w:val="001F234D"/>
    <w:rsid w:val="00261F01"/>
    <w:rsid w:val="0027415C"/>
    <w:rsid w:val="003215BE"/>
    <w:rsid w:val="00333287"/>
    <w:rsid w:val="003534FF"/>
    <w:rsid w:val="00507F08"/>
    <w:rsid w:val="005228D5"/>
    <w:rsid w:val="00580A4D"/>
    <w:rsid w:val="00633CE1"/>
    <w:rsid w:val="00696E2B"/>
    <w:rsid w:val="006F7529"/>
    <w:rsid w:val="008F628A"/>
    <w:rsid w:val="00996813"/>
    <w:rsid w:val="00B1052D"/>
    <w:rsid w:val="00BA762F"/>
    <w:rsid w:val="00C85B3B"/>
    <w:rsid w:val="00CF535D"/>
    <w:rsid w:val="00D37F08"/>
    <w:rsid w:val="00D67F12"/>
    <w:rsid w:val="00DC4B2B"/>
    <w:rsid w:val="00E623D1"/>
    <w:rsid w:val="00F34400"/>
    <w:rsid w:val="00F87678"/>
    <w:rsid w:val="00FB7F21"/>
    <w:rsid w:val="027A5558"/>
    <w:rsid w:val="033F6241"/>
    <w:rsid w:val="03F37758"/>
    <w:rsid w:val="050D3B20"/>
    <w:rsid w:val="05C36FC4"/>
    <w:rsid w:val="07011CC2"/>
    <w:rsid w:val="07644792"/>
    <w:rsid w:val="08B55745"/>
    <w:rsid w:val="09284798"/>
    <w:rsid w:val="0A275365"/>
    <w:rsid w:val="0D474EC2"/>
    <w:rsid w:val="0E0D673E"/>
    <w:rsid w:val="0F2B6FD9"/>
    <w:rsid w:val="105B1C1B"/>
    <w:rsid w:val="10BB1503"/>
    <w:rsid w:val="11852919"/>
    <w:rsid w:val="137218CA"/>
    <w:rsid w:val="141579F3"/>
    <w:rsid w:val="183C240D"/>
    <w:rsid w:val="19100912"/>
    <w:rsid w:val="19F42220"/>
    <w:rsid w:val="1AA24D9F"/>
    <w:rsid w:val="1AEB3E18"/>
    <w:rsid w:val="1E2136CC"/>
    <w:rsid w:val="1F053F78"/>
    <w:rsid w:val="1F904D1B"/>
    <w:rsid w:val="203B090D"/>
    <w:rsid w:val="20C20786"/>
    <w:rsid w:val="2191002B"/>
    <w:rsid w:val="22194CCB"/>
    <w:rsid w:val="22443B3A"/>
    <w:rsid w:val="225D5334"/>
    <w:rsid w:val="22C176C3"/>
    <w:rsid w:val="234F5BD5"/>
    <w:rsid w:val="23BD1C9E"/>
    <w:rsid w:val="23E34C9B"/>
    <w:rsid w:val="23E8420E"/>
    <w:rsid w:val="24363CA5"/>
    <w:rsid w:val="253439FF"/>
    <w:rsid w:val="25665DF2"/>
    <w:rsid w:val="25CC6F5F"/>
    <w:rsid w:val="266670D4"/>
    <w:rsid w:val="26862B41"/>
    <w:rsid w:val="26FE00EC"/>
    <w:rsid w:val="27D31F8D"/>
    <w:rsid w:val="28224B9F"/>
    <w:rsid w:val="28667399"/>
    <w:rsid w:val="286C2EFF"/>
    <w:rsid w:val="28DA2E89"/>
    <w:rsid w:val="2A4254F9"/>
    <w:rsid w:val="2C10432A"/>
    <w:rsid w:val="2C2C6870"/>
    <w:rsid w:val="2C381603"/>
    <w:rsid w:val="2C540D07"/>
    <w:rsid w:val="2CB34C35"/>
    <w:rsid w:val="2CE33F5E"/>
    <w:rsid w:val="2D1F32F4"/>
    <w:rsid w:val="2DCA133A"/>
    <w:rsid w:val="2E4202DD"/>
    <w:rsid w:val="317722DB"/>
    <w:rsid w:val="320D547F"/>
    <w:rsid w:val="323B4D81"/>
    <w:rsid w:val="334210E0"/>
    <w:rsid w:val="34671476"/>
    <w:rsid w:val="348A4CBF"/>
    <w:rsid w:val="34B70380"/>
    <w:rsid w:val="34EE76E2"/>
    <w:rsid w:val="35165311"/>
    <w:rsid w:val="35467B6F"/>
    <w:rsid w:val="35EE4DE4"/>
    <w:rsid w:val="370A2E1C"/>
    <w:rsid w:val="37EA43F2"/>
    <w:rsid w:val="39CA6372"/>
    <w:rsid w:val="3A526E97"/>
    <w:rsid w:val="3AE174A3"/>
    <w:rsid w:val="3AE71B18"/>
    <w:rsid w:val="3B804693"/>
    <w:rsid w:val="3C28373B"/>
    <w:rsid w:val="3CDD5F68"/>
    <w:rsid w:val="3D6B1BE1"/>
    <w:rsid w:val="3E2202B8"/>
    <w:rsid w:val="3E253E58"/>
    <w:rsid w:val="3E9055C8"/>
    <w:rsid w:val="3F7140B2"/>
    <w:rsid w:val="3F7C171B"/>
    <w:rsid w:val="404E1296"/>
    <w:rsid w:val="40534F68"/>
    <w:rsid w:val="40CE5334"/>
    <w:rsid w:val="417B41BA"/>
    <w:rsid w:val="41BB432D"/>
    <w:rsid w:val="41BF676C"/>
    <w:rsid w:val="420C31B7"/>
    <w:rsid w:val="429A6960"/>
    <w:rsid w:val="43446334"/>
    <w:rsid w:val="43A81EB9"/>
    <w:rsid w:val="448D2A8E"/>
    <w:rsid w:val="44A84E71"/>
    <w:rsid w:val="45E5269D"/>
    <w:rsid w:val="477DCE1E"/>
    <w:rsid w:val="47D11D87"/>
    <w:rsid w:val="481B656B"/>
    <w:rsid w:val="4A9D460A"/>
    <w:rsid w:val="4AC46D25"/>
    <w:rsid w:val="4ACE54AE"/>
    <w:rsid w:val="4BF46554"/>
    <w:rsid w:val="4CF60855"/>
    <w:rsid w:val="4DDE6E55"/>
    <w:rsid w:val="4F344065"/>
    <w:rsid w:val="4F734609"/>
    <w:rsid w:val="513B7615"/>
    <w:rsid w:val="52840BEF"/>
    <w:rsid w:val="52F1442F"/>
    <w:rsid w:val="539E44B3"/>
    <w:rsid w:val="54871B46"/>
    <w:rsid w:val="55FA0C3A"/>
    <w:rsid w:val="573E1E21"/>
    <w:rsid w:val="5822508B"/>
    <w:rsid w:val="584C4139"/>
    <w:rsid w:val="59A64D1A"/>
    <w:rsid w:val="59B90827"/>
    <w:rsid w:val="59F13584"/>
    <w:rsid w:val="5B0F615F"/>
    <w:rsid w:val="5B487E91"/>
    <w:rsid w:val="5C76653E"/>
    <w:rsid w:val="5CF9550F"/>
    <w:rsid w:val="5D3F20F0"/>
    <w:rsid w:val="5DCE67DB"/>
    <w:rsid w:val="5EFEBDE8"/>
    <w:rsid w:val="5F7D6455"/>
    <w:rsid w:val="616C473C"/>
    <w:rsid w:val="61CB32AE"/>
    <w:rsid w:val="62757F11"/>
    <w:rsid w:val="63241995"/>
    <w:rsid w:val="63311334"/>
    <w:rsid w:val="639B46F8"/>
    <w:rsid w:val="63E31B72"/>
    <w:rsid w:val="64DB76E4"/>
    <w:rsid w:val="652B3207"/>
    <w:rsid w:val="65C90D43"/>
    <w:rsid w:val="67254250"/>
    <w:rsid w:val="67DEDE7F"/>
    <w:rsid w:val="6873688C"/>
    <w:rsid w:val="68CA2609"/>
    <w:rsid w:val="68CC1AED"/>
    <w:rsid w:val="69BB0F42"/>
    <w:rsid w:val="6A637494"/>
    <w:rsid w:val="6BCF62E6"/>
    <w:rsid w:val="6BFD1C3F"/>
    <w:rsid w:val="6CC1187E"/>
    <w:rsid w:val="6CD3A16D"/>
    <w:rsid w:val="6D535020"/>
    <w:rsid w:val="6D7837AF"/>
    <w:rsid w:val="6D8819DC"/>
    <w:rsid w:val="6DD423E1"/>
    <w:rsid w:val="6E5F49A6"/>
    <w:rsid w:val="6EE420A1"/>
    <w:rsid w:val="6F670645"/>
    <w:rsid w:val="6F683873"/>
    <w:rsid w:val="6FCF86D5"/>
    <w:rsid w:val="6FFF37D2"/>
    <w:rsid w:val="70530F00"/>
    <w:rsid w:val="70A711B4"/>
    <w:rsid w:val="70DE2EF1"/>
    <w:rsid w:val="71D138A4"/>
    <w:rsid w:val="721A74EB"/>
    <w:rsid w:val="723A7896"/>
    <w:rsid w:val="72646808"/>
    <w:rsid w:val="734737A0"/>
    <w:rsid w:val="73A546CD"/>
    <w:rsid w:val="73BB6668"/>
    <w:rsid w:val="73C52DD8"/>
    <w:rsid w:val="746F1C11"/>
    <w:rsid w:val="74A54E21"/>
    <w:rsid w:val="760F40D7"/>
    <w:rsid w:val="76F5A197"/>
    <w:rsid w:val="774C3647"/>
    <w:rsid w:val="77873A73"/>
    <w:rsid w:val="77AB07A1"/>
    <w:rsid w:val="77B6147D"/>
    <w:rsid w:val="77D0483A"/>
    <w:rsid w:val="77E67275"/>
    <w:rsid w:val="77F329DF"/>
    <w:rsid w:val="7860158C"/>
    <w:rsid w:val="78787446"/>
    <w:rsid w:val="78FB22ED"/>
    <w:rsid w:val="797F0137"/>
    <w:rsid w:val="7A7A21FA"/>
    <w:rsid w:val="7BE11BCC"/>
    <w:rsid w:val="7C5F4108"/>
    <w:rsid w:val="7F1E0189"/>
    <w:rsid w:val="7F58120E"/>
    <w:rsid w:val="7F79C282"/>
    <w:rsid w:val="7F7B6CAE"/>
    <w:rsid w:val="7F860E94"/>
    <w:rsid w:val="7FBF6DD0"/>
    <w:rsid w:val="7FCD17FE"/>
    <w:rsid w:val="7FD7E9A0"/>
    <w:rsid w:val="7FE9FBB2"/>
    <w:rsid w:val="8FFFA67E"/>
    <w:rsid w:val="97634191"/>
    <w:rsid w:val="A97F623E"/>
    <w:rsid w:val="AFBF8780"/>
    <w:rsid w:val="B73F5210"/>
    <w:rsid w:val="BE37E4F4"/>
    <w:rsid w:val="BEEFCB4B"/>
    <w:rsid w:val="BFE6F841"/>
    <w:rsid w:val="D5DE8897"/>
    <w:rsid w:val="E7FE3684"/>
    <w:rsid w:val="EF7524A1"/>
    <w:rsid w:val="EFB7EC6C"/>
    <w:rsid w:val="EFFF70E4"/>
    <w:rsid w:val="F35D56CE"/>
    <w:rsid w:val="F79EE05A"/>
    <w:rsid w:val="F7EEC240"/>
    <w:rsid w:val="F7FF9294"/>
    <w:rsid w:val="F9762ED1"/>
    <w:rsid w:val="F9FE06FD"/>
    <w:rsid w:val="FBF75102"/>
    <w:rsid w:val="FDDC5620"/>
    <w:rsid w:val="FDEA700A"/>
    <w:rsid w:val="FF5D9318"/>
    <w:rsid w:val="FF779A08"/>
    <w:rsid w:val="FFBFCE42"/>
    <w:rsid w:val="FFC6FC71"/>
    <w:rsid w:val="FFD6D7CE"/>
    <w:rsid w:val="FFEFB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docId w15:val="{7918C2E9-42B3-174C-AB90-C43C6EB6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tabs>
        <w:tab w:val="center" w:pos="4153"/>
        <w:tab w:val="right" w:pos="8306"/>
      </w:tabs>
      <w:snapToGrid w:val="0"/>
      <w:jc w:val="center"/>
    </w:pPr>
    <w:rPr>
      <w:sz w:val="18"/>
      <w:szCs w:val="18"/>
    </w:rPr>
  </w:style>
  <w:style w:type="paragraph" w:styleId="a7">
    <w:name w:val="footnote text"/>
    <w:basedOn w:val="a"/>
    <w:qFormat/>
    <w:pPr>
      <w:snapToGrid w:val="0"/>
      <w:jc w:val="left"/>
    </w:pPr>
    <w:rPr>
      <w:sz w:val="18"/>
    </w:rPr>
  </w:style>
  <w:style w:type="paragraph" w:styleId="a8">
    <w:name w:val="Normal (Web)"/>
    <w:basedOn w:val="a"/>
    <w:qFormat/>
    <w:pPr>
      <w:spacing w:beforeAutospacing="1" w:afterAutospacing="1"/>
      <w:jc w:val="left"/>
    </w:pPr>
    <w:rPr>
      <w:kern w:val="0"/>
      <w:sz w:val="24"/>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character" w:styleId="ab">
    <w:name w:val="footnote reference"/>
    <w:basedOn w:val="a0"/>
    <w:qFormat/>
    <w:rPr>
      <w:vertAlign w:val="superscript"/>
    </w:rPr>
  </w:style>
  <w:style w:type="character" w:customStyle="1" w:styleId="font31">
    <w:name w:val="font31"/>
    <w:basedOn w:val="a0"/>
    <w:qFormat/>
    <w:rPr>
      <w:rFonts w:ascii="Calibri" w:hAnsi="Calibri" w:cs="Calibri" w:hint="default"/>
      <w:color w:val="000000"/>
      <w:sz w:val="21"/>
      <w:szCs w:val="21"/>
      <w:u w:val="none"/>
    </w:rPr>
  </w:style>
  <w:style w:type="character" w:customStyle="1" w:styleId="font21">
    <w:name w:val="font21"/>
    <w:basedOn w:val="a0"/>
    <w:qFormat/>
    <w:rPr>
      <w:rFonts w:ascii="宋体" w:eastAsia="宋体" w:hAnsi="宋体" w:cs="宋体" w:hint="eastAsia"/>
      <w:color w:val="000000"/>
      <w:sz w:val="21"/>
      <w:szCs w:val="21"/>
      <w:u w:val="none"/>
    </w:rPr>
  </w:style>
  <w:style w:type="character" w:customStyle="1" w:styleId="a6">
    <w:name w:val="页眉 字符"/>
    <w:basedOn w:val="a0"/>
    <w:link w:val="a5"/>
    <w:qFormat/>
    <w:rPr>
      <w:rFonts w:ascii="Arial" w:eastAsia="微软雅黑" w:hAnsi="Arial"/>
      <w:kern w:val="2"/>
      <w:sz w:val="18"/>
      <w:szCs w:val="18"/>
    </w:rPr>
  </w:style>
  <w:style w:type="character" w:customStyle="1" w:styleId="a4">
    <w:name w:val="页脚 字符"/>
    <w:basedOn w:val="a0"/>
    <w:link w:val="a3"/>
    <w:qFormat/>
    <w:rPr>
      <w:rFonts w:ascii="Arial" w:eastAsia="微软雅黑" w:hAnsi="Arial"/>
      <w:kern w:val="2"/>
      <w:sz w:val="18"/>
      <w:szCs w:val="18"/>
    </w:rPr>
  </w:style>
  <w:style w:type="paragraph" w:styleId="ac">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liwit</dc:creator>
  <cp:lastModifiedBy>Chun</cp:lastModifiedBy>
  <cp:revision>2</cp:revision>
  <dcterms:created xsi:type="dcterms:W3CDTF">2026-09-09T08:20:00Z</dcterms:created>
  <dcterms:modified xsi:type="dcterms:W3CDTF">2026-09-09T08:20:00Z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E4C8D8C00F4221FAF276976ABF2746EF_43</vt:lpwstr>
  </property>
  <property fmtid="{D5CDD505-2E9C-101B-9397-08002B2CF9AE}" pid="6" name="KSOTemplateDocerSaveRecord">
    <vt:lpwstr>eyJoZGlkIjoiYWIyY2MxMTYxZDA1Njc0NjE5Mjg0N2JlYzIwMzUzODUiLCJ1c2VySWQiOiIyNDIyMTc0ODcifQ==</vt:lpwstr>
  </property>
</Properties>
</file>