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浙江浙商融资租赁有限公司关于</w:t>
      </w:r>
    </w:p>
    <w:p>
      <w:pPr>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舟山市定海城区建设开发有限公司</w:t>
      </w:r>
    </w:p>
    <w:p>
      <w:pPr>
        <w:jc w:val="center"/>
        <w:rPr>
          <w:rFonts w:ascii="仿宋" w:hAnsi="仿宋" w:eastAsia="仿宋"/>
          <w:sz w:val="28"/>
          <w:szCs w:val="28"/>
        </w:rPr>
      </w:pPr>
      <w:r>
        <w:rPr>
          <w:rFonts w:hint="eastAsia" w:ascii="方正小标宋简体" w:hAnsi="方正小标宋简体" w:eastAsia="方正小标宋简体" w:cs="方正小标宋简体"/>
          <w:sz w:val="44"/>
          <w:szCs w:val="44"/>
        </w:rPr>
        <w:t>回租项目</w:t>
      </w:r>
      <w:r>
        <w:rPr>
          <w:rFonts w:hint="eastAsia" w:ascii="方正小标宋简体" w:hAnsi="方正小标宋简体" w:eastAsia="方正小标宋简体" w:cs="方正小标宋简体"/>
          <w:bCs/>
          <w:sz w:val="44"/>
          <w:szCs w:val="44"/>
        </w:rPr>
        <w:t>立项报告</w:t>
      </w:r>
    </w:p>
    <w:p>
      <w:pPr>
        <w:pStyle w:val="2"/>
        <w:numPr>
          <w:ilvl w:val="0"/>
          <w:numId w:val="1"/>
        </w:numPr>
        <w:adjustRightInd w:val="0"/>
        <w:snapToGrid w:val="0"/>
        <w:spacing w:before="0" w:after="0" w:line="360" w:lineRule="auto"/>
        <w:jc w:val="left"/>
        <w:rPr>
          <w:rFonts w:ascii="仿宋" w:hAnsi="仿宋" w:eastAsia="仿宋"/>
          <w:sz w:val="28"/>
          <w:szCs w:val="28"/>
        </w:rPr>
      </w:pPr>
      <w:r>
        <w:rPr>
          <w:rFonts w:hint="eastAsia" w:ascii="仿宋" w:hAnsi="仿宋" w:eastAsia="仿宋"/>
          <w:sz w:val="28"/>
          <w:szCs w:val="28"/>
        </w:rPr>
        <w:t>商务方案</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2"/>
        <w:gridCol w:w="2442"/>
        <w:gridCol w:w="2129"/>
        <w:gridCol w:w="2139"/>
      </w:tblGrid>
      <w:tr>
        <w:trPr>
          <w:trHeight w:val="20" w:hRule="atLeast"/>
        </w:trPr>
        <w:tc>
          <w:tcPr>
            <w:tcW w:w="5000" w:type="pct"/>
            <w:gridSpan w:val="4"/>
            <w:shd w:val="clear" w:color="auto" w:fill="auto"/>
            <w:vAlign w:val="center"/>
          </w:tcPr>
          <w:p>
            <w:pPr>
              <w:widowControl/>
              <w:adjustRightInd w:val="0"/>
              <w:snapToGrid w:val="0"/>
              <w:jc w:val="center"/>
              <w:rPr>
                <w:rFonts w:ascii="仿宋" w:hAnsi="仿宋" w:eastAsia="仿宋" w:cs="宋体"/>
                <w:b/>
                <w:bCs/>
                <w:color w:val="000000"/>
                <w:kern w:val="0"/>
                <w:szCs w:val="21"/>
              </w:rPr>
            </w:pPr>
            <w:r>
              <w:rPr>
                <w:rFonts w:hint="eastAsia" w:ascii="仿宋" w:hAnsi="仿宋" w:eastAsia="仿宋" w:cs="宋体"/>
                <w:b/>
                <w:bCs/>
                <w:color w:val="000000"/>
                <w:kern w:val="0"/>
                <w:szCs w:val="21"/>
              </w:rPr>
              <w:t>项目方案</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租赁模式</w:t>
            </w:r>
          </w:p>
        </w:tc>
        <w:tc>
          <w:tcPr>
            <w:tcW w:w="1432" w:type="pct"/>
            <w:shd w:val="clear" w:color="auto" w:fill="auto"/>
            <w:vAlign w:val="center"/>
          </w:tcPr>
          <w:p>
            <w:pPr>
              <w:widowControl/>
              <w:adjustRightInd w:val="0"/>
              <w:snapToGrid w:val="0"/>
              <w:rPr>
                <w:rFonts w:hint="default" w:ascii="仿宋" w:hAnsi="仿宋" w:eastAsia="仿宋" w:cs="宋体"/>
                <w:color w:val="000000"/>
                <w:kern w:val="0"/>
                <w:szCs w:val="21"/>
              </w:rPr>
            </w:pPr>
            <w:r>
              <w:rPr>
                <w:rFonts w:hint="default" w:ascii="仿宋" w:hAnsi="仿宋" w:eastAsia="仿宋" w:cs="宋体"/>
                <w:color w:val="000000"/>
                <w:kern w:val="0"/>
                <w:szCs w:val="21"/>
              </w:rPr>
              <w:t>{{leaseType}}</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是否翻单</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否</w:t>
            </w:r>
          </w:p>
        </w:tc>
      </w:tr>
      <w:tr>
        <w:trPr>
          <w:trHeight w:val="322"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承租人名称</w:t>
            </w:r>
          </w:p>
        </w:tc>
        <w:tc>
          <w:tcPr>
            <w:tcW w:w="3936" w:type="pct"/>
            <w:gridSpan w:val="3"/>
            <w:shd w:val="clear" w:color="auto" w:fill="auto"/>
            <w:vAlign w:val="center"/>
          </w:tcPr>
          <w:p>
            <w:pPr>
              <w:widowControl/>
              <w:adjustRightInd w:val="0"/>
              <w:snapToGrid w:val="0"/>
              <w:rPr>
                <w:rFonts w:hint="default" w:ascii="仿宋" w:hAnsi="仿宋" w:eastAsia="仿宋" w:cs="宋体"/>
                <w:color w:val="000000"/>
                <w:kern w:val="0"/>
                <w:szCs w:val="21"/>
              </w:rPr>
            </w:pPr>
            <w:r>
              <w:rPr>
                <w:rFonts w:hint="default" w:ascii="仿宋" w:hAnsi="仿宋" w:eastAsia="仿宋" w:cs="宋体"/>
                <w:color w:val="000000"/>
                <w:kern w:val="0"/>
                <w:szCs w:val="21"/>
              </w:rPr>
              <w:t>{{companyName}}</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项目所在省份</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浙江省</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项目所在地区</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舟山市定海区</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租赁本金（万元）</w:t>
            </w:r>
          </w:p>
        </w:tc>
        <w:tc>
          <w:tcPr>
            <w:tcW w:w="1432" w:type="pct"/>
            <w:shd w:val="clear" w:color="auto" w:fill="auto"/>
            <w:vAlign w:val="center"/>
          </w:tcPr>
          <w:p>
            <w:pPr>
              <w:widowControl/>
              <w:jc w:val="left"/>
              <w:textAlignment w:val="center"/>
              <w:rPr>
                <w:rFonts w:hint="default" w:ascii="仿宋" w:hAnsi="仿宋" w:eastAsia="仿宋" w:cs="仿宋"/>
                <w:color w:val="000000"/>
                <w:sz w:val="22"/>
                <w:szCs w:val="22"/>
              </w:rPr>
            </w:pPr>
            <w:r>
              <w:rPr>
                <w:rFonts w:hint="default" w:ascii="仿宋" w:hAnsi="仿宋" w:eastAsia="仿宋" w:cs="仿宋"/>
                <w:color w:val="000000"/>
                <w:sz w:val="22"/>
                <w:szCs w:val="22"/>
              </w:rPr>
              <w:t>{{originPrice}}</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租金总额（万元）</w:t>
            </w:r>
          </w:p>
        </w:tc>
        <w:tc>
          <w:tcPr>
            <w:tcW w:w="1254" w:type="pct"/>
            <w:shd w:val="clear" w:color="auto" w:fill="auto"/>
            <w:vAlign w:val="center"/>
          </w:tcPr>
          <w:p>
            <w:pPr>
              <w:widowControl/>
              <w:adjustRightInd w:val="0"/>
              <w:snapToGrid w:val="0"/>
              <w:rPr>
                <w:rFonts w:hint="default" w:ascii="仿宋" w:hAnsi="仿宋" w:eastAsia="仿宋" w:cs="宋体"/>
                <w:color w:val="000000"/>
                <w:kern w:val="0"/>
                <w:szCs w:val="21"/>
              </w:rPr>
            </w:pPr>
            <w:r>
              <w:rPr>
                <w:rFonts w:hint="default" w:ascii="仿宋" w:hAnsi="仿宋" w:eastAsia="仿宋" w:cs="宋体"/>
                <w:color w:val="000000"/>
                <w:kern w:val="0"/>
                <w:szCs w:val="21"/>
              </w:rPr>
              <w:t>{{totalPrice}}</w:t>
            </w:r>
          </w:p>
        </w:tc>
      </w:tr>
      <w:tr>
        <w:trPr>
          <w:trHeight w:val="9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授信金额依据</w:t>
            </w:r>
          </w:p>
        </w:tc>
        <w:tc>
          <w:tcPr>
            <w:tcW w:w="3936" w:type="pct"/>
            <w:gridSpan w:val="3"/>
            <w:shd w:val="clear" w:color="auto" w:fill="auto"/>
            <w:vAlign w:val="center"/>
          </w:tcPr>
          <w:p>
            <w:pPr>
              <w:widowControl/>
              <w:adjustRightInd w:val="0"/>
              <w:snapToGrid w:val="0"/>
              <w:ind w:firstLine="420" w:firstLineChars="200"/>
              <w:rPr>
                <w:rFonts w:ascii="仿宋" w:hAnsi="仿宋" w:eastAsia="仿宋" w:cs="宋体"/>
                <w:color w:val="000000"/>
                <w:kern w:val="0"/>
                <w:szCs w:val="21"/>
              </w:rPr>
            </w:pPr>
            <w:r>
              <w:rPr>
                <w:rFonts w:hint="eastAsia" w:ascii="仿宋" w:hAnsi="仿宋" w:eastAsia="仿宋" w:cs="宋体"/>
                <w:color w:val="000000"/>
                <w:kern w:val="0"/>
                <w:szCs w:val="21"/>
              </w:rPr>
              <w:t>根据业务准入标准，第一类区域累计风险敞口占当地上年度一般公共预算收入的比重不高于10%。定海区属于我司制度规定的第一类区域范畴，2020年一般公共预算收入的10%为3.2亿元，定海区我司暂无存量项目，本项目风险敞口为1</w:t>
            </w:r>
            <w:r>
              <w:rPr>
                <w:rFonts w:ascii="仿宋" w:hAnsi="仿宋" w:eastAsia="仿宋" w:cs="宋体"/>
                <w:color w:val="000000"/>
                <w:kern w:val="0"/>
                <w:szCs w:val="21"/>
              </w:rPr>
              <w:t>.995</w:t>
            </w:r>
            <w:r>
              <w:rPr>
                <w:rFonts w:hint="eastAsia" w:ascii="仿宋" w:hAnsi="仿宋" w:eastAsia="仿宋" w:cs="宋体"/>
                <w:color w:val="000000"/>
                <w:kern w:val="0"/>
                <w:szCs w:val="21"/>
              </w:rPr>
              <w:t>亿元，未超过限额要求。</w:t>
            </w:r>
          </w:p>
          <w:p>
            <w:pPr>
              <w:widowControl/>
              <w:adjustRightInd w:val="0"/>
              <w:snapToGrid w:val="0"/>
              <w:ind w:firstLine="420" w:firstLineChars="200"/>
              <w:rPr>
                <w:rFonts w:ascii="仿宋" w:hAnsi="仿宋" w:eastAsia="仿宋" w:cs="宋体"/>
                <w:color w:val="000000"/>
                <w:kern w:val="0"/>
                <w:szCs w:val="21"/>
              </w:rPr>
            </w:pPr>
            <w:r>
              <w:rPr>
                <w:rFonts w:hint="eastAsia" w:ascii="仿宋" w:hAnsi="仿宋" w:eastAsia="仿宋" w:cs="宋体"/>
                <w:color w:val="000000"/>
                <w:kern w:val="0"/>
                <w:szCs w:val="21"/>
              </w:rPr>
              <w:t>定海区区域评分为7</w:t>
            </w:r>
            <w:r>
              <w:rPr>
                <w:rFonts w:ascii="仿宋" w:hAnsi="仿宋" w:eastAsia="仿宋" w:cs="宋体"/>
                <w:color w:val="000000"/>
                <w:kern w:val="0"/>
                <w:szCs w:val="21"/>
              </w:rPr>
              <w:t>0</w:t>
            </w:r>
            <w:r>
              <w:rPr>
                <w:rFonts w:hint="eastAsia" w:ascii="仿宋" w:hAnsi="仿宋" w:eastAsia="仿宋" w:cs="宋体"/>
                <w:color w:val="000000"/>
                <w:kern w:val="0"/>
                <w:szCs w:val="21"/>
              </w:rPr>
              <w:t>.</w:t>
            </w:r>
            <w:r>
              <w:rPr>
                <w:rFonts w:ascii="仿宋" w:hAnsi="仿宋" w:eastAsia="仿宋" w:cs="宋体"/>
                <w:color w:val="000000"/>
                <w:kern w:val="0"/>
                <w:szCs w:val="21"/>
              </w:rPr>
              <w:t>02</w:t>
            </w:r>
            <w:r>
              <w:rPr>
                <w:rFonts w:hint="eastAsia" w:ascii="仿宋" w:hAnsi="仿宋" w:eastAsia="仿宋" w:cs="宋体"/>
                <w:color w:val="000000"/>
                <w:kern w:val="0"/>
                <w:szCs w:val="21"/>
              </w:rPr>
              <w:t>（2019年数据），单一客户授信限额为2亿元，本次申报授信额度1.5亿元，符合要求。</w:t>
            </w:r>
          </w:p>
        </w:tc>
      </w:tr>
      <w:tr>
        <w:trPr>
          <w:trHeight w:val="9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保证金（万元）</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5</w:t>
            </w:r>
            <w:r>
              <w:rPr>
                <w:rFonts w:ascii="仿宋" w:hAnsi="仿宋" w:eastAsia="仿宋" w:cs="宋体"/>
                <w:color w:val="000000"/>
                <w:kern w:val="0"/>
                <w:szCs w:val="21"/>
              </w:rPr>
              <w:t>0.00</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名义货价（元）</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100.00</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风险敞口（万元）</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w:t>
            </w:r>
            <w:r>
              <w:rPr>
                <w:rFonts w:ascii="仿宋" w:hAnsi="仿宋" w:eastAsia="仿宋" w:cs="宋体"/>
                <w:color w:val="000000"/>
                <w:kern w:val="0"/>
                <w:szCs w:val="21"/>
              </w:rPr>
              <w:t>9,950.00</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服务费（万元）</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ascii="仿宋" w:hAnsi="仿宋" w:eastAsia="仿宋" w:cs="宋体"/>
                <w:color w:val="000000"/>
                <w:kern w:val="0"/>
                <w:szCs w:val="21"/>
              </w:rPr>
              <w:t>345.00</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租金计算方法</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等额租金</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租赁利率</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5.</w:t>
            </w:r>
            <w:r>
              <w:rPr>
                <w:rFonts w:ascii="仿宋" w:hAnsi="仿宋" w:eastAsia="仿宋" w:cs="宋体"/>
                <w:color w:val="000000"/>
                <w:kern w:val="0"/>
                <w:szCs w:val="21"/>
              </w:rPr>
              <w:t>7</w:t>
            </w:r>
            <w:r>
              <w:rPr>
                <w:rFonts w:hint="eastAsia" w:ascii="仿宋" w:hAnsi="仿宋" w:eastAsia="仿宋" w:cs="宋体"/>
                <w:color w:val="000000"/>
                <w:kern w:val="0"/>
                <w:szCs w:val="21"/>
              </w:rPr>
              <w:t>0%/年（浮动利率）</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还款节奏</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按季后付</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租赁期限(月)</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48个月</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租赁物是否投保</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否，租赁物位置隐蔽性较高，灭失风险较小，故而租赁物不购买保险</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项目收益率xirr</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6</w:t>
            </w:r>
            <w:r>
              <w:rPr>
                <w:rFonts w:ascii="仿宋" w:hAnsi="仿宋" w:eastAsia="仿宋" w:cs="宋体"/>
                <w:color w:val="000000"/>
                <w:kern w:val="0"/>
                <w:szCs w:val="21"/>
              </w:rPr>
              <w:t>.75%</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还款期数</w:t>
            </w:r>
          </w:p>
        </w:tc>
        <w:tc>
          <w:tcPr>
            <w:tcW w:w="1432" w:type="pct"/>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16期</w:t>
            </w:r>
          </w:p>
        </w:tc>
        <w:tc>
          <w:tcPr>
            <w:tcW w:w="1249"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每期租金（万元）</w:t>
            </w:r>
          </w:p>
        </w:tc>
        <w:tc>
          <w:tcPr>
            <w:tcW w:w="1254" w:type="pct"/>
            <w:shd w:val="clear" w:color="auto" w:fill="auto"/>
            <w:vAlign w:val="center"/>
          </w:tcPr>
          <w:p>
            <w:pPr>
              <w:widowControl/>
              <w:adjustRightInd w:val="0"/>
              <w:snapToGrid w:val="0"/>
              <w:rPr>
                <w:rFonts w:ascii="仿宋" w:hAnsi="仿宋" w:eastAsia="仿宋" w:cs="宋体"/>
                <w:color w:val="000000"/>
                <w:kern w:val="0"/>
                <w:szCs w:val="21"/>
              </w:rPr>
            </w:pPr>
            <w:r>
              <w:rPr>
                <w:rFonts w:ascii="仿宋" w:hAnsi="仿宋" w:eastAsia="仿宋" w:cs="宋体"/>
                <w:color w:val="000000"/>
                <w:kern w:val="0"/>
                <w:szCs w:val="21"/>
              </w:rPr>
              <w:t>1</w:t>
            </w:r>
            <w:r>
              <w:rPr>
                <w:rFonts w:hint="eastAsia" w:ascii="仿宋" w:hAnsi="仿宋" w:eastAsia="仿宋" w:cs="宋体"/>
                <w:color w:val="000000"/>
                <w:kern w:val="0"/>
                <w:szCs w:val="21"/>
              </w:rPr>
              <w:t>,4</w:t>
            </w:r>
            <w:r>
              <w:rPr>
                <w:rFonts w:ascii="仿宋" w:hAnsi="仿宋" w:eastAsia="仿宋" w:cs="宋体"/>
                <w:color w:val="000000"/>
                <w:kern w:val="0"/>
                <w:szCs w:val="21"/>
              </w:rPr>
              <w:t>06.76</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风险防范措施</w:t>
            </w:r>
          </w:p>
        </w:tc>
        <w:tc>
          <w:tcPr>
            <w:tcW w:w="3936" w:type="pct"/>
            <w:gridSpan w:val="3"/>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1.舟山市定海区城乡建设集团有限公司提供连带责任保证担保；</w:t>
            </w:r>
          </w:p>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2.租赁物进行中登网登记。</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主要租赁物说明</w:t>
            </w:r>
          </w:p>
        </w:tc>
        <w:tc>
          <w:tcPr>
            <w:tcW w:w="3936" w:type="pct"/>
            <w:gridSpan w:val="3"/>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划拨或自有资产及配套设施等</w:t>
            </w:r>
          </w:p>
        </w:tc>
      </w:tr>
      <w:tr>
        <w:trPr>
          <w:trHeight w:val="9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资金用途说明</w:t>
            </w:r>
          </w:p>
        </w:tc>
        <w:tc>
          <w:tcPr>
            <w:tcW w:w="3936" w:type="pct"/>
            <w:gridSpan w:val="3"/>
            <w:shd w:val="clear" w:color="auto" w:fill="auto"/>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补充流动资金</w:t>
            </w:r>
          </w:p>
        </w:tc>
      </w:tr>
      <w:tr>
        <w:trPr>
          <w:trHeight w:val="20" w:hRule="atLeast"/>
        </w:trPr>
        <w:tc>
          <w:tcPr>
            <w:tcW w:w="1063" w:type="pct"/>
            <w:shd w:val="clear" w:color="auto" w:fill="auto"/>
            <w:noWrap/>
            <w:vAlign w:val="center"/>
          </w:tcPr>
          <w:p>
            <w:pPr>
              <w:widowControl/>
              <w:adjustRightInd w:val="0"/>
              <w:snapToGrid w:val="0"/>
              <w:rPr>
                <w:rFonts w:ascii="仿宋" w:hAnsi="仿宋" w:eastAsia="仿宋" w:cs="宋体"/>
                <w:color w:val="000000"/>
                <w:kern w:val="0"/>
                <w:szCs w:val="21"/>
              </w:rPr>
            </w:pPr>
            <w:r>
              <w:rPr>
                <w:rFonts w:hint="eastAsia" w:ascii="仿宋" w:hAnsi="仿宋" w:eastAsia="仿宋" w:cs="宋体"/>
                <w:color w:val="000000"/>
                <w:kern w:val="0"/>
                <w:szCs w:val="21"/>
              </w:rPr>
              <w:t>其他需说明的情况</w:t>
            </w:r>
          </w:p>
        </w:tc>
        <w:tc>
          <w:tcPr>
            <w:tcW w:w="3936" w:type="pct"/>
            <w:gridSpan w:val="3"/>
            <w:shd w:val="clear" w:color="auto" w:fill="auto"/>
            <w:vAlign w:val="center"/>
          </w:tcPr>
          <w:p>
            <w:pPr>
              <w:widowControl/>
              <w:adjustRightInd w:val="0"/>
              <w:snapToGrid w:val="0"/>
              <w:rPr>
                <w:rFonts w:ascii="仿宋" w:hAnsi="仿宋" w:eastAsia="仿宋" w:cs="宋体"/>
                <w:color w:val="000000"/>
                <w:kern w:val="0"/>
                <w:szCs w:val="21"/>
              </w:rPr>
            </w:pPr>
          </w:p>
        </w:tc>
      </w:tr>
    </w:tbl>
    <w:p>
      <w:pPr>
        <w:rPr>
          <w:rFonts w:hint="default"/>
        </w:rPr>
      </w:pPr>
      <w:bookmarkStart w:id="0" w:name="_GoBack"/>
      <w:r>
        <w:rPr>
          <w:rFonts w:hint="default"/>
        </w:rPr>
        <w:t>{{testTitle}}</w:t>
      </w:r>
    </w:p>
    <w:bookmarkEnd w:id="0"/>
    <w:p>
      <w:pPr>
        <w:rPr>
          <w:rFonts w:hint="eastAsia" w:ascii="仿宋" w:hAnsi="仿宋" w:eastAsia="仿宋"/>
          <w:sz w:val="28"/>
          <w:szCs w:val="28"/>
        </w:rPr>
      </w:pPr>
      <w:r>
        <w:rPr>
          <w:rFonts w:hint="default"/>
        </w:rPr>
        <w:t>{{#leasePayCalTable}}</w:t>
      </w:r>
    </w:p>
    <w:p>
      <w:pPr>
        <w:pStyle w:val="2"/>
        <w:adjustRightInd w:val="0"/>
        <w:snapToGrid w:val="0"/>
        <w:spacing w:before="0" w:after="0" w:line="360" w:lineRule="auto"/>
        <w:jc w:val="left"/>
        <w:rPr>
          <w:rFonts w:ascii="仿宋" w:hAnsi="仿宋" w:eastAsia="仿宋"/>
          <w:sz w:val="28"/>
          <w:szCs w:val="28"/>
        </w:rPr>
      </w:pPr>
      <w:r>
        <w:rPr>
          <w:rFonts w:hint="eastAsia" w:ascii="仿宋" w:hAnsi="仿宋" w:eastAsia="仿宋"/>
          <w:sz w:val="28"/>
          <w:szCs w:val="28"/>
        </w:rPr>
        <w:t>二、当地政府经济与财政分析</w:t>
      </w:r>
    </w:p>
    <w:p>
      <w:pPr>
        <w:pStyle w:val="3"/>
        <w:numPr>
          <w:ilvl w:val="0"/>
          <w:numId w:val="2"/>
        </w:numPr>
        <w:adjustRightInd w:val="0"/>
        <w:snapToGrid w:val="0"/>
        <w:spacing w:before="0" w:after="0" w:line="360" w:lineRule="auto"/>
        <w:ind w:left="420" w:leftChars="200"/>
        <w:rPr>
          <w:rFonts w:ascii="仿宋" w:hAnsi="仿宋" w:eastAsia="仿宋"/>
          <w:sz w:val="28"/>
          <w:szCs w:val="28"/>
        </w:rPr>
      </w:pPr>
      <w:r>
        <w:rPr>
          <w:rFonts w:hint="eastAsia" w:ascii="仿宋" w:hAnsi="仿宋" w:eastAsia="仿宋"/>
          <w:sz w:val="28"/>
          <w:szCs w:val="28"/>
        </w:rPr>
        <w:t>舟山市情况</w:t>
      </w:r>
    </w:p>
    <w:p>
      <w:pPr>
        <w:pStyle w:val="3"/>
        <w:numPr>
          <w:ilvl w:val="0"/>
          <w:numId w:val="3"/>
        </w:numPr>
        <w:adjustRightInd w:val="0"/>
        <w:snapToGrid w:val="0"/>
        <w:spacing w:before="0" w:after="0" w:line="360" w:lineRule="auto"/>
        <w:ind w:firstLine="482" w:firstLineChars="200"/>
        <w:rPr>
          <w:rFonts w:ascii="仿宋" w:hAnsi="仿宋" w:eastAsia="仿宋"/>
          <w:sz w:val="24"/>
          <w:szCs w:val="24"/>
        </w:rPr>
      </w:pPr>
      <w:r>
        <w:rPr>
          <w:rFonts w:hint="eastAsia" w:ascii="仿宋" w:hAnsi="仿宋" w:eastAsia="仿宋"/>
          <w:sz w:val="24"/>
          <w:szCs w:val="24"/>
        </w:rPr>
        <w:t>基本情况</w:t>
      </w:r>
    </w:p>
    <w:p>
      <w:pPr>
        <w:spacing w:line="360" w:lineRule="auto"/>
        <w:ind w:firstLine="480" w:firstLineChars="200"/>
        <w:rPr>
          <w:rFonts w:ascii="仿宋" w:hAnsi="仿宋" w:eastAsia="仿宋" w:cs="仿宋"/>
          <w:sz w:val="24"/>
        </w:rPr>
      </w:pPr>
      <w:r>
        <w:rPr>
          <w:rFonts w:hint="eastAsia" w:ascii="仿宋" w:hAnsi="仿宋" w:eastAsia="仿宋" w:cs="仿宋"/>
          <w:sz w:val="24"/>
        </w:rPr>
        <w:t>舟山市是我国第一个以群岛建制的地级市，隶属于浙江省，长江三角洲中心区27城之一，地处中国东部黄金海岸线与长江黄金水道的交汇处，背靠长三角广阔经济腹地，拥有1,390个岛屿和270多公里深水岸线，是中国第一大群岛和重要港口城市，下辖定海、普陀两区和岱山、嵊泗两县。</w:t>
      </w:r>
    </w:p>
    <w:p>
      <w:pPr>
        <w:pStyle w:val="3"/>
        <w:numPr>
          <w:ilvl w:val="0"/>
          <w:numId w:val="3"/>
        </w:numPr>
        <w:adjustRightInd w:val="0"/>
        <w:snapToGrid w:val="0"/>
        <w:spacing w:before="0" w:after="0" w:line="360" w:lineRule="auto"/>
        <w:ind w:firstLine="482" w:firstLineChars="200"/>
        <w:rPr>
          <w:rFonts w:ascii="仿宋" w:hAnsi="仿宋" w:eastAsia="仿宋"/>
          <w:sz w:val="24"/>
          <w:szCs w:val="24"/>
        </w:rPr>
      </w:pPr>
      <w:r>
        <w:rPr>
          <w:rFonts w:hint="eastAsia" w:ascii="仿宋" w:hAnsi="仿宋" w:eastAsia="仿宋"/>
          <w:sz w:val="24"/>
          <w:szCs w:val="24"/>
        </w:rPr>
        <w:t>经济、财政情况</w:t>
      </w:r>
    </w:p>
    <w:p>
      <w:pPr>
        <w:spacing w:line="360" w:lineRule="auto"/>
        <w:ind w:firstLine="480" w:firstLineChars="200"/>
        <w:rPr>
          <w:rFonts w:ascii="仿宋" w:hAnsi="仿宋" w:eastAsia="仿宋" w:cs="仿宋"/>
          <w:sz w:val="24"/>
        </w:rPr>
      </w:pPr>
      <w:r>
        <w:rPr>
          <w:rFonts w:hint="eastAsia" w:ascii="仿宋" w:hAnsi="仿宋" w:eastAsia="仿宋" w:cs="仿宋"/>
          <w:sz w:val="24"/>
        </w:rPr>
        <w:t>近年来舟山市经济稳步发展，2018-2020年舟山市分别实现地区生产总值1,316.7亿元、1,371.6亿元和1,512.1亿元，按可比价格计算，同比分别增长6.7%、9.2%和12%，增速不断提高，“十三五”期间地区生产总值年均增长9.2%。分产业看，2020年舟山市三次产业增加值结构为10.1∶39.0∶50.9，产业结构不断优化。工业经济方面，依托临海的优越地理位置，舟山市持续发展船舶制造、水产加工等优势产业，壮大培育数字经济、卫星传输服务、海洋电子信息等新兴产业，2020年舟山市规模以上工业增加值同比增长60.2%，工业对于区域经济贡献较为显著。固定资产投资方面，2018-2020年舟山市固定资产投资同比分别增长7.5%、8.6%和1.5%，2020年受疫情影响增速有所放缓。</w:t>
      </w:r>
    </w:p>
    <w:p>
      <w:pPr>
        <w:spacing w:line="360" w:lineRule="auto"/>
        <w:ind w:firstLine="480" w:firstLineChars="200"/>
        <w:rPr>
          <w:rFonts w:hint="eastAsia" w:ascii="仿宋" w:hAnsi="仿宋" w:eastAsia="仿宋" w:cs="仿宋"/>
          <w:sz w:val="24"/>
        </w:rPr>
      </w:pPr>
      <w:r>
        <w:rPr>
          <w:rFonts w:hint="eastAsia" w:ascii="仿宋" w:hAnsi="仿宋" w:eastAsia="仿宋" w:cs="仿宋"/>
          <w:sz w:val="24"/>
        </w:rPr>
        <w:t>2020年舟山市实现财政总收入254.5亿元，比上年增长10.4%，其中一般公共预算收入159.2亿元，增长2.8%，税收收入占一般公共预算收入的比重为70.88%，自身造血能力较强，财政自给率（公共财政收入/公共财政支出）为50.91%，财政平衡情况一般。</w:t>
      </w:r>
    </w:p>
    <w:p>
      <w:pPr>
        <w:spacing w:line="360" w:lineRule="auto"/>
        <w:rPr>
          <w:rFonts w:ascii="仿宋" w:hAnsi="仿宋" w:eastAsia="仿宋" w:cs="仿宋_GB2312"/>
          <w:b/>
          <w:sz w:val="24"/>
        </w:rPr>
      </w:pPr>
      <w:r>
        <w:rPr>
          <w:rFonts w:hint="default" w:ascii="仿宋" w:hAnsi="仿宋" w:eastAsia="仿宋" w:cs="仿宋"/>
          <w:sz w:val="24"/>
        </w:rPr>
        <w:t>{{#financial</w:t>
      </w:r>
      <w:r>
        <w:rPr>
          <w:rFonts w:hint="eastAsia" w:ascii="仿宋" w:hAnsi="仿宋" w:eastAsia="仿宋" w:cs="仿宋"/>
          <w:sz w:val="24"/>
          <w:lang w:val="en-US" w:eastAsia="zh-Hans"/>
        </w:rPr>
        <w:t>Ta</w:t>
      </w:r>
      <w:r>
        <w:rPr>
          <w:rFonts w:hint="default" w:ascii="仿宋" w:hAnsi="仿宋" w:eastAsia="仿宋" w:cs="仿宋"/>
          <w:sz w:val="24"/>
          <w:lang w:eastAsia="zh-Hans"/>
        </w:rPr>
        <w:t>ble</w:t>
      </w:r>
      <w:r>
        <w:rPr>
          <w:rFonts w:hint="default" w:ascii="仿宋" w:hAnsi="仿宋" w:eastAsia="仿宋" w:cs="仿宋"/>
          <w:sz w:val="24"/>
        </w:rPr>
        <w:t>}}</w:t>
      </w:r>
    </w:p>
    <w:p>
      <w:pPr>
        <w:rPr>
          <w:rFonts w:ascii="楷体" w:hAnsi="楷体" w:eastAsia="楷体" w:cs="楷体"/>
          <w:b/>
          <w:bCs/>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Calibri Light">
    <w:altName w:val="Helvetica Neue"/>
    <w:panose1 w:val="020F0302020204030204"/>
    <w:charset w:val="00"/>
    <w:family w:val="swiss"/>
    <w:pitch w:val="default"/>
    <w:sig w:usb0="00000000" w:usb1="00000000" w:usb2="00000009" w:usb3="00000000" w:csb0="000001FF"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00000000" w:usb1="00000000" w:usb2="00000000" w:usb3="00000000" w:csb0="0016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00000000" w:usb1="00000000" w:usb2="00000000" w:usb3="00000000" w:csb0="00160000" w:csb1="00000000"/>
  </w:font>
  <w:font w:name="方正小标宋简体">
    <w:altName w:val="汉仪书宋二KW"/>
    <w:panose1 w:val="03000509000000000000"/>
    <w:charset w:val="86"/>
    <w:family w:val="script"/>
    <w:pitch w:val="default"/>
    <w:sig w:usb0="00000000" w:usb1="00000000" w:usb2="0000001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A5CAC3"/>
    <w:multiLevelType w:val="singleLevel"/>
    <w:tmpl w:val="0FA5CAC3"/>
    <w:lvl w:ilvl="0" w:tentative="0">
      <w:start w:val="1"/>
      <w:numFmt w:val="decimal"/>
      <w:suff w:val="nothing"/>
      <w:lvlText w:val="%1、"/>
      <w:lvlJc w:val="left"/>
    </w:lvl>
  </w:abstractNum>
  <w:abstractNum w:abstractNumId="1">
    <w:nsid w:val="5D56DE56"/>
    <w:multiLevelType w:val="singleLevel"/>
    <w:tmpl w:val="5D56DE56"/>
    <w:lvl w:ilvl="0" w:tentative="0">
      <w:start w:val="1"/>
      <w:numFmt w:val="chineseCounting"/>
      <w:suff w:val="nothing"/>
      <w:lvlText w:val="（%1）"/>
      <w:lvlJc w:val="left"/>
      <w:rPr>
        <w:rFonts w:hint="eastAsia"/>
      </w:rPr>
    </w:lvl>
  </w:abstractNum>
  <w:abstractNum w:abstractNumId="2">
    <w:nsid w:val="6CC1B305"/>
    <w:multiLevelType w:val="singleLevel"/>
    <w:tmpl w:val="6CC1B305"/>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821"/>
    <w:rsid w:val="000D4026"/>
    <w:rsid w:val="000E7109"/>
    <w:rsid w:val="001722EC"/>
    <w:rsid w:val="00194003"/>
    <w:rsid w:val="002D7B11"/>
    <w:rsid w:val="00305C03"/>
    <w:rsid w:val="00312348"/>
    <w:rsid w:val="003775ED"/>
    <w:rsid w:val="00534BCB"/>
    <w:rsid w:val="005F5C92"/>
    <w:rsid w:val="00665821"/>
    <w:rsid w:val="00691C5A"/>
    <w:rsid w:val="006B1CE6"/>
    <w:rsid w:val="00704427"/>
    <w:rsid w:val="00707457"/>
    <w:rsid w:val="00711D90"/>
    <w:rsid w:val="00736E36"/>
    <w:rsid w:val="00761846"/>
    <w:rsid w:val="007801D5"/>
    <w:rsid w:val="00782499"/>
    <w:rsid w:val="00822510"/>
    <w:rsid w:val="00862E25"/>
    <w:rsid w:val="008B6858"/>
    <w:rsid w:val="00913282"/>
    <w:rsid w:val="009500D2"/>
    <w:rsid w:val="009735B7"/>
    <w:rsid w:val="00987E53"/>
    <w:rsid w:val="009F39EB"/>
    <w:rsid w:val="00AD780F"/>
    <w:rsid w:val="00AF2CF8"/>
    <w:rsid w:val="00BA1C1A"/>
    <w:rsid w:val="00C359DB"/>
    <w:rsid w:val="00C56E09"/>
    <w:rsid w:val="00C72F92"/>
    <w:rsid w:val="00CD7057"/>
    <w:rsid w:val="00CF2AC5"/>
    <w:rsid w:val="00E6586B"/>
    <w:rsid w:val="00F2340F"/>
    <w:rsid w:val="00FC741E"/>
    <w:rsid w:val="04102749"/>
    <w:rsid w:val="05BD2C27"/>
    <w:rsid w:val="07240489"/>
    <w:rsid w:val="084C3A5E"/>
    <w:rsid w:val="08F96F7E"/>
    <w:rsid w:val="098E1EE2"/>
    <w:rsid w:val="0A5C47AA"/>
    <w:rsid w:val="0E251F8D"/>
    <w:rsid w:val="169F1367"/>
    <w:rsid w:val="1D99049F"/>
    <w:rsid w:val="2318372B"/>
    <w:rsid w:val="316C039B"/>
    <w:rsid w:val="325465A6"/>
    <w:rsid w:val="34F6514F"/>
    <w:rsid w:val="3B257018"/>
    <w:rsid w:val="3F390140"/>
    <w:rsid w:val="438412FC"/>
    <w:rsid w:val="4A1560DA"/>
    <w:rsid w:val="4EF215D7"/>
    <w:rsid w:val="51770FBB"/>
    <w:rsid w:val="54310245"/>
    <w:rsid w:val="54965028"/>
    <w:rsid w:val="56193CE6"/>
    <w:rsid w:val="58590F37"/>
    <w:rsid w:val="5B2F213B"/>
    <w:rsid w:val="5E481B9B"/>
    <w:rsid w:val="6B2D060A"/>
    <w:rsid w:val="6C650D43"/>
    <w:rsid w:val="6F9D5927"/>
    <w:rsid w:val="71922BF4"/>
    <w:rsid w:val="75DFC3BB"/>
    <w:rsid w:val="762556E5"/>
    <w:rsid w:val="791D5206"/>
    <w:rsid w:val="B2F71AFC"/>
    <w:rsid w:val="BED9E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footnote text"/>
    <w:basedOn w:val="1"/>
    <w:semiHidden/>
    <w:unhideWhenUsed/>
    <w:qFormat/>
    <w:uiPriority w:val="99"/>
    <w:pPr>
      <w:snapToGrid w:val="0"/>
      <w:jc w:val="left"/>
    </w:pPr>
    <w:rPr>
      <w:sz w:val="18"/>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qFormat/>
    <w:uiPriority w:val="0"/>
    <w:rPr>
      <w:color w:val="0000FF"/>
      <w:u w:val="single"/>
    </w:rPr>
  </w:style>
  <w:style w:type="character" w:styleId="13">
    <w:name w:val="footnote reference"/>
    <w:basedOn w:val="11"/>
    <w:semiHidden/>
    <w:unhideWhenUsed/>
    <w:qFormat/>
    <w:uiPriority w:val="99"/>
    <w:rPr>
      <w:vertAlign w:val="superscript"/>
    </w:rPr>
  </w:style>
  <w:style w:type="paragraph" w:customStyle="1" w:styleId="14">
    <w:name w:val="a1"/>
    <w:basedOn w:val="1"/>
    <w:qFormat/>
    <w:uiPriority w:val="0"/>
    <w:pPr>
      <w:widowControl/>
      <w:adjustRightInd w:val="0"/>
      <w:snapToGrid w:val="0"/>
      <w:jc w:val="left"/>
    </w:pPr>
    <w:rPr>
      <w:rFonts w:ascii="仿宋" w:hAnsi="仿宋" w:eastAsia="仿宋" w:cs="宋体"/>
      <w:color w:val="000000"/>
      <w:kern w:val="0"/>
      <w:szCs w:val="28"/>
    </w:rPr>
  </w:style>
  <w:style w:type="paragraph" w:customStyle="1" w:styleId="15">
    <w:name w:val="Table Paragraph"/>
    <w:basedOn w:val="1"/>
    <w:qFormat/>
    <w:uiPriority w:val="1"/>
    <w:rPr>
      <w:rFonts w:ascii="仿宋" w:hAnsi="仿宋" w:eastAsia="仿宋" w:cs="仿宋"/>
    </w:rPr>
  </w:style>
  <w:style w:type="character" w:customStyle="1" w:styleId="16">
    <w:name w:val="font61"/>
    <w:basedOn w:val="11"/>
    <w:qFormat/>
    <w:uiPriority w:val="0"/>
    <w:rPr>
      <w:rFonts w:hint="eastAsia" w:ascii="楷体" w:hAnsi="楷体" w:eastAsia="楷体" w:cs="楷体"/>
      <w:b/>
      <w:bCs/>
      <w:color w:val="000000"/>
      <w:sz w:val="20"/>
      <w:szCs w:val="20"/>
      <w:u w:val="none"/>
    </w:rPr>
  </w:style>
  <w:style w:type="character" w:customStyle="1" w:styleId="17">
    <w:name w:val="font51"/>
    <w:basedOn w:val="11"/>
    <w:qFormat/>
    <w:uiPriority w:val="0"/>
    <w:rPr>
      <w:rFonts w:hint="eastAsia" w:ascii="楷体" w:hAnsi="楷体" w:eastAsia="楷体" w:cs="楷体"/>
      <w:b/>
      <w:bCs/>
      <w:color w:val="000000"/>
      <w:sz w:val="20"/>
      <w:szCs w:val="20"/>
      <w:u w:val="none"/>
    </w:rPr>
  </w:style>
  <w:style w:type="character" w:customStyle="1" w:styleId="18">
    <w:name w:val="font41"/>
    <w:basedOn w:val="11"/>
    <w:qFormat/>
    <w:uiPriority w:val="0"/>
    <w:rPr>
      <w:rFonts w:hint="eastAsia" w:ascii="楷体" w:hAnsi="楷体" w:eastAsia="楷体" w:cs="楷体"/>
      <w:color w:val="000000"/>
      <w:sz w:val="24"/>
      <w:szCs w:val="24"/>
      <w:u w:val="none"/>
    </w:rPr>
  </w:style>
  <w:style w:type="character" w:customStyle="1" w:styleId="19">
    <w:name w:val="font11"/>
    <w:basedOn w:val="11"/>
    <w:qFormat/>
    <w:uiPriority w:val="0"/>
    <w:rPr>
      <w:rFonts w:hint="eastAsia" w:ascii="楷体" w:hAnsi="楷体" w:eastAsia="楷体" w:cs="楷体"/>
      <w:b/>
      <w:bCs/>
      <w:color w:val="000000"/>
      <w:sz w:val="22"/>
      <w:szCs w:val="22"/>
      <w:u w:val="none"/>
    </w:rPr>
  </w:style>
  <w:style w:type="character" w:customStyle="1" w:styleId="20">
    <w:name w:val="font21"/>
    <w:basedOn w:val="11"/>
    <w:qFormat/>
    <w:uiPriority w:val="0"/>
    <w:rPr>
      <w:rFonts w:hint="eastAsia" w:ascii="楷体" w:hAnsi="楷体" w:eastAsia="楷体" w:cs="楷体"/>
      <w:color w:val="000000"/>
      <w:sz w:val="22"/>
      <w:szCs w:val="22"/>
      <w:u w:val="none"/>
    </w:rPr>
  </w:style>
  <w:style w:type="character" w:customStyle="1" w:styleId="21">
    <w:name w:val="font31"/>
    <w:basedOn w:val="11"/>
    <w:qFormat/>
    <w:uiPriority w:val="0"/>
    <w:rPr>
      <w:rFonts w:hint="eastAsia" w:ascii="楷体" w:hAnsi="楷体" w:eastAsia="楷体" w:cs="楷体"/>
      <w:color w:val="000000"/>
      <w:sz w:val="22"/>
      <w:szCs w:val="22"/>
      <w:u w:val="none"/>
    </w:rPr>
  </w:style>
  <w:style w:type="character" w:customStyle="1" w:styleId="22">
    <w:name w:val="标题 3 字符"/>
    <w:basedOn w:val="11"/>
    <w:link w:val="4"/>
    <w:semiHidden/>
    <w:qFormat/>
    <w:uiPriority w:val="0"/>
    <w:rPr>
      <w:rFonts w:asciiTheme="minorHAnsi" w:hAnsiTheme="minorHAnsi" w:eastAsiaTheme="minorEastAsia" w:cstheme="minorBidi"/>
      <w:b/>
      <w:bCs/>
      <w:kern w:val="2"/>
      <w:sz w:val="32"/>
      <w:szCs w:val="32"/>
    </w:rPr>
  </w:style>
  <w:style w:type="paragraph" w:styleId="23">
    <w:name w:val="List Paragraph"/>
    <w:basedOn w:val="1"/>
    <w:qFormat/>
    <w:uiPriority w:val="99"/>
    <w:pPr>
      <w:ind w:firstLine="420" w:firstLineChars="200"/>
    </w:pPr>
  </w:style>
  <w:style w:type="table" w:customStyle="1" w:styleId="24">
    <w:name w:val="网格型4"/>
    <w:basedOn w:val="9"/>
    <w:qFormat/>
    <w:uiPriority w:val="39"/>
    <w:pPr>
      <w:jc w:val="both"/>
    </w:pPr>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表格正文"/>
    <w:basedOn w:val="1"/>
    <w:next w:val="1"/>
    <w:qFormat/>
    <w:uiPriority w:val="0"/>
    <w:pPr>
      <w:jc w:val="center"/>
    </w:pPr>
    <w:rPr>
      <w:rFonts w:ascii="仿宋" w:hAnsi="仿宋"/>
      <w:sz w:val="20"/>
      <w:szCs w:val="52"/>
    </w:rPr>
  </w:style>
  <w:style w:type="character" w:customStyle="1" w:styleId="26">
    <w:name w:val="标题 4 字符"/>
    <w:basedOn w:val="11"/>
    <w:link w:val="5"/>
    <w:qFormat/>
    <w:uiPriority w:val="9"/>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3257</Words>
  <Characters>18570</Characters>
  <Lines>154</Lines>
  <Paragraphs>43</Paragraphs>
  <TotalTime>2</TotalTime>
  <ScaleCrop>false</ScaleCrop>
  <LinksUpToDate>false</LinksUpToDate>
  <CharactersWithSpaces>21784</CharactersWithSpaces>
  <Application>WPS Office_3.9.4.6407_F1E327BC-269C-435d-A152-05C5408002CA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2021-03-02T15:37:00Z</dcterms:created>
  <dc:creator>Mayz</dc:creator>
  <cp:lastModifiedBy>王</cp:lastModifiedBy>
  <dcterms:modified xsi:type="dcterms:W3CDTF">2022-07-23T00:44:22Z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2052-3.9.4.6407</vt:lpwstr>
  </property>
  <property fmtid="{D5CDD505-2E9C-101B-9397-08002B2CF9AE}" pid="3" name="ICV">
    <vt:lpwstr>621AEDED4914497CB660190B367E9BD0</vt:lpwstr>
  </property>
</Properties>
</file>