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D423088" w14:textId="77777777" w:rsidR="0025099C" w:rsidRDefault="00494EEB">
      <w:pPr>
        <w:spacing w:afterLines="50" w:after="156" w:line="480" w:lineRule="exact"/>
        <w:rPr>
          <w:rFonts w:ascii="宋体" w:hAnsi="宋体" w:cs="宋体" w:hint="eastAsia"/>
          <w:b/>
          <w:sz w:val="24"/>
          <w:szCs w:val="24"/>
        </w:rPr>
      </w:pPr>
      <w:r>
        <w:rPr>
          <w:rFonts w:ascii="宋体" w:hAnsi="宋体" w:cs="宋体" w:hint="eastAsia"/>
          <w:b/>
          <w:sz w:val="24"/>
          <w:szCs w:val="24"/>
        </w:rPr>
        <w:t>致：</w:t>
      </w:r>
      <w:r>
        <w:rPr>
          <w:rFonts w:ascii="宋体" w:hAnsi="宋体" w:cs="宋体" w:hint="eastAsia"/>
          <w:b/>
          <w:color w:val="000000"/>
          <w:sz w:val="24"/>
          <w:szCs w:val="24"/>
        </w:rPr>
        <w:t>中翼航空投资有限公司</w:t>
      </w:r>
    </w:p>
    <w:p w14:paraId="2F4CB0F1" w14:textId="77777777" w:rsidR="0025099C" w:rsidRDefault="00494EEB">
      <w:pPr>
        <w:spacing w:afterLines="50" w:after="156" w:line="480" w:lineRule="exact"/>
        <w:jc w:val="center"/>
        <w:rPr>
          <w:rFonts w:ascii="宋体" w:hAnsi="宋体" w:cs="宋体" w:hint="eastAsia"/>
          <w:b/>
          <w:sz w:val="28"/>
          <w:szCs w:val="28"/>
        </w:rPr>
      </w:pPr>
      <w:r>
        <w:rPr>
          <w:rFonts w:ascii="宋体" w:hAnsi="宋体" w:cs="宋体" w:hint="eastAsia"/>
          <w:b/>
          <w:sz w:val="28"/>
          <w:szCs w:val="28"/>
        </w:rPr>
        <w:t>关于</w:t>
      </w:r>
      <w:r>
        <w:rPr>
          <w:rFonts w:ascii="宋体" w:hAnsi="宋体" w:cs="宋体" w:hint="eastAsia"/>
          <w:b/>
          <w:sz w:val="28"/>
          <w:szCs w:val="28"/>
        </w:rPr>
        <w:t>旅客投诉餐食异物相关</w:t>
      </w:r>
      <w:r>
        <w:rPr>
          <w:rFonts w:ascii="宋体" w:hAnsi="宋体" w:cs="宋体" w:hint="eastAsia"/>
          <w:b/>
          <w:sz w:val="28"/>
          <w:szCs w:val="28"/>
        </w:rPr>
        <w:t>事宜之法律备忘录</w:t>
      </w:r>
    </w:p>
    <w:p w14:paraId="2C2CD7BB" w14:textId="77777777" w:rsidR="0025099C" w:rsidRDefault="00494EEB">
      <w:pPr>
        <w:spacing w:afterLines="50" w:after="156" w:line="480" w:lineRule="exact"/>
        <w:rPr>
          <w:rFonts w:ascii="宋体" w:hAnsi="宋体" w:cs="宋体" w:hint="eastAsia"/>
          <w:b/>
          <w:sz w:val="24"/>
          <w:szCs w:val="24"/>
        </w:rPr>
      </w:pPr>
      <w:r>
        <w:rPr>
          <w:rFonts w:ascii="宋体" w:hAnsi="宋体" w:cs="宋体" w:hint="eastAsia"/>
          <w:b/>
          <w:sz w:val="24"/>
          <w:szCs w:val="24"/>
        </w:rPr>
        <w:t>敬启者：</w:t>
      </w:r>
    </w:p>
    <w:p w14:paraId="4F5CF407" w14:textId="77777777" w:rsidR="0025099C" w:rsidRDefault="00494EEB">
      <w:pPr>
        <w:spacing w:afterLines="50" w:after="156" w:line="360" w:lineRule="auto"/>
        <w:ind w:firstLineChars="200" w:firstLine="480"/>
        <w:rPr>
          <w:rFonts w:ascii="宋体" w:hAnsi="宋体" w:cs="宋体" w:hint="eastAsia"/>
          <w:sz w:val="24"/>
          <w:szCs w:val="24"/>
        </w:rPr>
      </w:pPr>
      <w:r>
        <w:rPr>
          <w:rFonts w:ascii="宋体" w:hAnsi="宋体" w:cs="宋体" w:hint="eastAsia"/>
          <w:sz w:val="24"/>
          <w:szCs w:val="24"/>
        </w:rPr>
        <w:t>我们，国浩律师（北京）事务所（以下简称“</w:t>
      </w:r>
      <w:r>
        <w:rPr>
          <w:rFonts w:ascii="宋体" w:hAnsi="宋体" w:cs="宋体" w:hint="eastAsia"/>
          <w:b/>
          <w:sz w:val="24"/>
          <w:szCs w:val="24"/>
        </w:rPr>
        <w:t>国浩</w:t>
      </w:r>
      <w:r>
        <w:rPr>
          <w:rFonts w:ascii="宋体" w:hAnsi="宋体" w:cs="宋体" w:hint="eastAsia"/>
          <w:sz w:val="24"/>
          <w:szCs w:val="24"/>
        </w:rPr>
        <w:t>”）接受</w:t>
      </w:r>
      <w:r>
        <w:rPr>
          <w:rFonts w:ascii="宋体" w:hAnsi="宋体" w:cs="宋体" w:hint="eastAsia"/>
          <w:sz w:val="24"/>
          <w:szCs w:val="24"/>
        </w:rPr>
        <w:t>中翼航空投资有限公司</w:t>
      </w:r>
      <w:r>
        <w:rPr>
          <w:rFonts w:ascii="宋体" w:hAnsi="宋体" w:cs="宋体" w:hint="eastAsia"/>
          <w:color w:val="000000"/>
          <w:sz w:val="24"/>
          <w:szCs w:val="24"/>
        </w:rPr>
        <w:t>（以下简称“</w:t>
      </w:r>
      <w:r>
        <w:rPr>
          <w:rFonts w:ascii="宋体" w:hAnsi="宋体" w:cs="宋体" w:hint="eastAsia"/>
          <w:b/>
          <w:color w:val="000000"/>
          <w:sz w:val="24"/>
          <w:szCs w:val="24"/>
          <w:lang w:eastAsia="zh-Hans"/>
        </w:rPr>
        <w:t>贵司</w:t>
      </w:r>
      <w:r>
        <w:rPr>
          <w:rFonts w:ascii="宋体" w:hAnsi="宋体" w:cs="宋体" w:hint="eastAsia"/>
          <w:color w:val="000000"/>
          <w:sz w:val="24"/>
          <w:szCs w:val="24"/>
        </w:rPr>
        <w:t>”）</w:t>
      </w:r>
      <w:r>
        <w:rPr>
          <w:rFonts w:ascii="宋体" w:hAnsi="宋体" w:cs="宋体" w:hint="eastAsia"/>
          <w:sz w:val="24"/>
          <w:szCs w:val="24"/>
        </w:rPr>
        <w:t>委托，就</w:t>
      </w:r>
      <w:r>
        <w:rPr>
          <w:rFonts w:ascii="宋体" w:hAnsi="宋体" w:cs="宋体" w:hint="eastAsia"/>
          <w:sz w:val="24"/>
          <w:szCs w:val="24"/>
        </w:rPr>
        <w:t>旅客投诉在国航提供餐食中吃出异物相关事宜，我们</w:t>
      </w:r>
      <w:r>
        <w:rPr>
          <w:rFonts w:ascii="宋体" w:hAnsi="宋体" w:cs="宋体" w:hint="eastAsia"/>
          <w:sz w:val="24"/>
          <w:szCs w:val="24"/>
        </w:rPr>
        <w:t>根据贵司提供的资料及介绍情况，依据相关法律法规</w:t>
      </w:r>
      <w:r>
        <w:rPr>
          <w:rFonts w:ascii="宋体" w:hAnsi="宋体" w:cs="宋体" w:hint="eastAsia"/>
          <w:sz w:val="24"/>
          <w:szCs w:val="24"/>
        </w:rPr>
        <w:t>及司法实践</w:t>
      </w:r>
      <w:r>
        <w:rPr>
          <w:rFonts w:ascii="宋体" w:hAnsi="宋体" w:cs="宋体" w:hint="eastAsia"/>
          <w:sz w:val="24"/>
          <w:szCs w:val="24"/>
        </w:rPr>
        <w:t>，出具本法律备忘录，</w:t>
      </w:r>
      <w:proofErr w:type="gramStart"/>
      <w:r>
        <w:rPr>
          <w:rFonts w:ascii="宋体" w:hAnsi="宋体" w:cs="宋体" w:hint="eastAsia"/>
          <w:sz w:val="24"/>
          <w:szCs w:val="24"/>
        </w:rPr>
        <w:t>供贵司</w:t>
      </w:r>
      <w:proofErr w:type="gramEnd"/>
      <w:r>
        <w:rPr>
          <w:rFonts w:ascii="宋体" w:hAnsi="宋体" w:cs="宋体" w:hint="eastAsia"/>
          <w:sz w:val="24"/>
          <w:szCs w:val="24"/>
        </w:rPr>
        <w:t>参考。</w:t>
      </w:r>
    </w:p>
    <w:p w14:paraId="3C0A9B3E" w14:textId="77777777" w:rsidR="0025099C" w:rsidRDefault="00494EEB">
      <w:pPr>
        <w:spacing w:afterLines="50" w:after="156" w:line="360" w:lineRule="auto"/>
        <w:ind w:firstLineChars="200" w:firstLine="482"/>
        <w:rPr>
          <w:rFonts w:ascii="宋体" w:hAnsi="宋体" w:cs="宋体" w:hint="eastAsia"/>
          <w:b/>
          <w:sz w:val="24"/>
          <w:szCs w:val="24"/>
        </w:rPr>
      </w:pPr>
      <w:r>
        <w:rPr>
          <w:rFonts w:ascii="宋体" w:hAnsi="宋体" w:cs="宋体" w:hint="eastAsia"/>
          <w:b/>
          <w:sz w:val="24"/>
          <w:szCs w:val="24"/>
        </w:rPr>
        <w:t>一、基本事实</w:t>
      </w:r>
    </w:p>
    <w:p w14:paraId="7DF2662C" w14:textId="77777777" w:rsidR="0025099C" w:rsidRDefault="00494EEB">
      <w:pPr>
        <w:spacing w:afterLines="50" w:after="156" w:line="360" w:lineRule="auto"/>
        <w:ind w:firstLineChars="200" w:firstLine="480"/>
        <w:rPr>
          <w:rFonts w:ascii="宋体" w:hAnsi="宋体" w:cs="宋体" w:hint="eastAsia"/>
          <w:sz w:val="24"/>
          <w:szCs w:val="24"/>
        </w:rPr>
      </w:pPr>
      <w:r>
        <w:rPr>
          <w:rFonts w:ascii="宋体" w:hAnsi="宋体" w:cs="宋体" w:hint="eastAsia"/>
          <w:sz w:val="24"/>
          <w:szCs w:val="24"/>
        </w:rPr>
        <w:t>依据贵司提供材料，</w:t>
      </w:r>
      <w:r>
        <w:rPr>
          <w:rFonts w:ascii="宋体" w:hAnsi="宋体" w:cs="宋体" w:hint="eastAsia"/>
          <w:sz w:val="24"/>
          <w:szCs w:val="24"/>
        </w:rPr>
        <w:t>2026</w:t>
      </w:r>
      <w:r>
        <w:rPr>
          <w:rFonts w:ascii="宋体" w:hAnsi="宋体" w:cs="宋体" w:hint="eastAsia"/>
          <w:sz w:val="24"/>
          <w:szCs w:val="24"/>
        </w:rPr>
        <w:t>年</w:t>
      </w:r>
      <w:r>
        <w:rPr>
          <w:rFonts w:ascii="宋体" w:hAnsi="宋体" w:cs="宋体" w:hint="eastAsia"/>
          <w:sz w:val="24"/>
          <w:szCs w:val="24"/>
        </w:rPr>
        <w:t>1</w:t>
      </w:r>
      <w:r>
        <w:rPr>
          <w:rFonts w:ascii="宋体" w:hAnsi="宋体" w:cs="宋体" w:hint="eastAsia"/>
          <w:sz w:val="24"/>
          <w:szCs w:val="24"/>
        </w:rPr>
        <w:t>月</w:t>
      </w:r>
      <w:r>
        <w:rPr>
          <w:rFonts w:ascii="宋体" w:hAnsi="宋体" w:cs="宋体" w:hint="eastAsia"/>
          <w:sz w:val="24"/>
          <w:szCs w:val="24"/>
        </w:rPr>
        <w:t>8</w:t>
      </w:r>
      <w:r>
        <w:rPr>
          <w:rFonts w:ascii="宋体" w:hAnsi="宋体" w:cs="宋体" w:hint="eastAsia"/>
          <w:sz w:val="24"/>
          <w:szCs w:val="24"/>
        </w:rPr>
        <w:t>日，香港籍旅客林大荣先生在国航国际公务舱休息室餐区食用炸酱面时，向员工反馈面中吃出异物。后旅客在顺义区医院进行</w:t>
      </w:r>
      <w:r>
        <w:rPr>
          <w:rFonts w:ascii="宋体" w:hAnsi="宋体" w:cs="宋体" w:hint="eastAsia"/>
          <w:sz w:val="24"/>
          <w:szCs w:val="24"/>
        </w:rPr>
        <w:t>X</w:t>
      </w:r>
      <w:r>
        <w:rPr>
          <w:rFonts w:ascii="宋体" w:hAnsi="宋体" w:cs="宋体" w:hint="eastAsia"/>
          <w:sz w:val="24"/>
          <w:szCs w:val="24"/>
        </w:rPr>
        <w:t>光检查，检查结果显示：未见明显异常。医院诊断意见为：可疑，消化道内异物。</w:t>
      </w:r>
    </w:p>
    <w:p w14:paraId="57469F38" w14:textId="77777777" w:rsidR="0025099C" w:rsidRDefault="00494EEB">
      <w:pPr>
        <w:spacing w:afterLines="50" w:after="156" w:line="360" w:lineRule="auto"/>
        <w:ind w:firstLineChars="200" w:firstLine="480"/>
        <w:rPr>
          <w:rFonts w:ascii="宋体" w:hAnsi="宋体" w:cs="宋体" w:hint="eastAsia"/>
          <w:sz w:val="24"/>
          <w:szCs w:val="24"/>
          <w:highlight w:val="yellow"/>
        </w:rPr>
      </w:pPr>
      <w:r>
        <w:rPr>
          <w:rFonts w:ascii="宋体" w:hAnsi="宋体" w:cs="宋体" w:hint="eastAsia"/>
          <w:sz w:val="24"/>
          <w:szCs w:val="24"/>
        </w:rPr>
        <w:t>国航确认，旅客消化道内异物系因食用国航提供的食品导致。基于以上情况，旅客提出</w:t>
      </w:r>
      <w:r>
        <w:rPr>
          <w:rFonts w:ascii="宋体" w:hAnsi="宋体" w:cs="宋体" w:hint="eastAsia"/>
          <w:sz w:val="24"/>
          <w:szCs w:val="24"/>
        </w:rPr>
        <w:t>4</w:t>
      </w:r>
      <w:r>
        <w:rPr>
          <w:rFonts w:ascii="宋体" w:hAnsi="宋体" w:cs="宋体" w:hint="eastAsia"/>
          <w:sz w:val="24"/>
          <w:szCs w:val="24"/>
        </w:rPr>
        <w:t>万美元赔偿方案。</w:t>
      </w:r>
    </w:p>
    <w:p w14:paraId="4B56FD49" w14:textId="77777777" w:rsidR="0025099C" w:rsidRDefault="00494EEB">
      <w:pPr>
        <w:spacing w:afterLines="50" w:after="156" w:line="360" w:lineRule="auto"/>
        <w:ind w:firstLineChars="200" w:firstLine="482"/>
        <w:rPr>
          <w:rFonts w:ascii="宋体" w:hAnsi="宋体" w:cs="宋体" w:hint="eastAsia"/>
          <w:b/>
          <w:sz w:val="24"/>
          <w:szCs w:val="24"/>
        </w:rPr>
      </w:pPr>
      <w:r>
        <w:rPr>
          <w:rFonts w:ascii="宋体" w:hAnsi="宋体" w:cs="宋体" w:hint="eastAsia"/>
          <w:b/>
          <w:sz w:val="24"/>
          <w:szCs w:val="24"/>
        </w:rPr>
        <w:t>二、法律分析意见</w:t>
      </w:r>
    </w:p>
    <w:p w14:paraId="633FC078" w14:textId="77777777" w:rsidR="0025099C" w:rsidRDefault="00494EEB">
      <w:pPr>
        <w:spacing w:afterLines="50" w:after="156" w:line="360" w:lineRule="auto"/>
        <w:ind w:firstLineChars="200" w:firstLine="482"/>
        <w:rPr>
          <w:rFonts w:ascii="宋体" w:hAnsi="宋体" w:cs="宋体" w:hint="eastAsia"/>
          <w:b/>
          <w:sz w:val="24"/>
          <w:szCs w:val="24"/>
        </w:rPr>
      </w:pPr>
      <w:r>
        <w:rPr>
          <w:rFonts w:ascii="宋体" w:hAnsi="宋体" w:cs="宋体" w:hint="eastAsia"/>
          <w:b/>
          <w:sz w:val="24"/>
          <w:szCs w:val="24"/>
        </w:rPr>
        <w:t>（</w:t>
      </w:r>
      <w:r>
        <w:rPr>
          <w:rFonts w:ascii="宋体" w:hAnsi="宋体" w:cs="宋体" w:hint="eastAsia"/>
          <w:b/>
          <w:sz w:val="24"/>
          <w:szCs w:val="24"/>
        </w:rPr>
        <w:t>一</w:t>
      </w:r>
      <w:r>
        <w:rPr>
          <w:rFonts w:ascii="宋体" w:hAnsi="宋体" w:cs="宋体" w:hint="eastAsia"/>
          <w:b/>
          <w:sz w:val="24"/>
          <w:szCs w:val="24"/>
        </w:rPr>
        <w:t>）</w:t>
      </w:r>
      <w:r>
        <w:rPr>
          <w:rFonts w:ascii="宋体" w:hAnsi="宋体" w:cs="宋体" w:hint="eastAsia"/>
          <w:b/>
          <w:sz w:val="24"/>
          <w:szCs w:val="24"/>
        </w:rPr>
        <w:t>本纠纷应适用中国大陆法律，由侵权行为地人民法院管辖</w:t>
      </w:r>
    </w:p>
    <w:p w14:paraId="1FC7AB77" w14:textId="77777777" w:rsidR="0025099C" w:rsidRDefault="00494EEB">
      <w:pPr>
        <w:spacing w:afterLines="50" w:after="156" w:line="360" w:lineRule="auto"/>
        <w:ind w:firstLineChars="200" w:firstLine="480"/>
        <w:rPr>
          <w:rFonts w:ascii="宋体" w:hAnsi="宋体" w:cs="宋体" w:hint="eastAsia"/>
          <w:bCs/>
          <w:sz w:val="24"/>
          <w:szCs w:val="24"/>
        </w:rPr>
      </w:pPr>
      <w:r>
        <w:rPr>
          <w:rFonts w:ascii="宋体" w:hAnsi="宋体" w:cs="宋体" w:hint="eastAsia"/>
          <w:bCs/>
          <w:sz w:val="24"/>
          <w:szCs w:val="24"/>
        </w:rPr>
        <w:t>依据《中华人民共和国涉外民事关系法律适用法》第四十四条</w:t>
      </w:r>
      <w:r>
        <w:rPr>
          <w:rStyle w:val="a9"/>
          <w:rFonts w:ascii="宋体" w:hAnsi="宋体" w:cs="宋体" w:hint="eastAsia"/>
          <w:bCs/>
          <w:sz w:val="24"/>
          <w:szCs w:val="24"/>
        </w:rPr>
        <w:footnoteReference w:id="1"/>
      </w:r>
      <w:r>
        <w:rPr>
          <w:rFonts w:ascii="宋体" w:hAnsi="宋体" w:cs="宋体" w:hint="eastAsia"/>
          <w:bCs/>
          <w:sz w:val="24"/>
          <w:szCs w:val="24"/>
        </w:rPr>
        <w:t>、</w:t>
      </w:r>
      <w:proofErr w:type="gramStart"/>
      <w:r>
        <w:rPr>
          <w:rFonts w:ascii="宋体" w:hAnsi="宋体" w:cs="宋体" w:hint="eastAsia"/>
          <w:bCs/>
          <w:sz w:val="24"/>
          <w:szCs w:val="24"/>
        </w:rPr>
        <w:t>《</w:t>
      </w:r>
      <w:proofErr w:type="gramEnd"/>
      <w:r>
        <w:rPr>
          <w:rFonts w:ascii="宋体" w:hAnsi="宋体" w:cs="宋体" w:hint="eastAsia"/>
          <w:bCs/>
          <w:sz w:val="24"/>
          <w:szCs w:val="24"/>
        </w:rPr>
        <w:t>最高人民法院关于适用</w:t>
      </w:r>
      <w:proofErr w:type="gramStart"/>
      <w:r>
        <w:rPr>
          <w:rFonts w:ascii="宋体" w:hAnsi="宋体" w:cs="宋体" w:hint="eastAsia"/>
          <w:bCs/>
          <w:sz w:val="24"/>
          <w:szCs w:val="24"/>
        </w:rPr>
        <w:t>《</w:t>
      </w:r>
      <w:proofErr w:type="gramEnd"/>
      <w:r>
        <w:rPr>
          <w:rFonts w:ascii="宋体" w:hAnsi="宋体" w:cs="宋体" w:hint="eastAsia"/>
          <w:bCs/>
          <w:sz w:val="24"/>
          <w:szCs w:val="24"/>
        </w:rPr>
        <w:t>中华人民共和国涉外民事关系法律适用法</w:t>
      </w:r>
      <w:proofErr w:type="gramStart"/>
      <w:r>
        <w:rPr>
          <w:rFonts w:ascii="宋体" w:hAnsi="宋体" w:cs="宋体" w:hint="eastAsia"/>
          <w:bCs/>
          <w:sz w:val="24"/>
          <w:szCs w:val="24"/>
        </w:rPr>
        <w:t>》</w:t>
      </w:r>
      <w:proofErr w:type="gramEnd"/>
      <w:r>
        <w:rPr>
          <w:rFonts w:ascii="宋体" w:hAnsi="宋体" w:cs="宋体" w:hint="eastAsia"/>
          <w:bCs/>
          <w:sz w:val="24"/>
          <w:szCs w:val="24"/>
        </w:rPr>
        <w:t>若干问题的解释（一）</w:t>
      </w:r>
      <w:proofErr w:type="gramStart"/>
      <w:r>
        <w:rPr>
          <w:rFonts w:ascii="宋体" w:hAnsi="宋体" w:cs="宋体" w:hint="eastAsia"/>
          <w:bCs/>
          <w:sz w:val="24"/>
          <w:szCs w:val="24"/>
        </w:rPr>
        <w:t>》</w:t>
      </w:r>
      <w:proofErr w:type="gramEnd"/>
      <w:r>
        <w:rPr>
          <w:rFonts w:ascii="宋体" w:hAnsi="宋体" w:cs="宋体" w:hint="eastAsia"/>
          <w:bCs/>
          <w:sz w:val="24"/>
          <w:szCs w:val="24"/>
        </w:rPr>
        <w:t>（</w:t>
      </w:r>
      <w:r>
        <w:rPr>
          <w:rFonts w:ascii="宋体" w:hAnsi="宋体" w:cs="宋体" w:hint="eastAsia"/>
          <w:bCs/>
          <w:sz w:val="24"/>
          <w:szCs w:val="24"/>
        </w:rPr>
        <w:t>2020</w:t>
      </w:r>
      <w:r>
        <w:rPr>
          <w:rFonts w:ascii="宋体" w:hAnsi="宋体" w:cs="宋体" w:hint="eastAsia"/>
          <w:bCs/>
          <w:sz w:val="24"/>
          <w:szCs w:val="24"/>
        </w:rPr>
        <w:t>修正）第十七条</w:t>
      </w:r>
      <w:r>
        <w:rPr>
          <w:rStyle w:val="a9"/>
          <w:rFonts w:ascii="宋体" w:hAnsi="宋体" w:cs="宋体" w:hint="eastAsia"/>
          <w:bCs/>
          <w:sz w:val="24"/>
          <w:szCs w:val="24"/>
        </w:rPr>
        <w:footnoteReference w:id="2"/>
      </w:r>
      <w:r>
        <w:rPr>
          <w:rFonts w:ascii="宋体" w:hAnsi="宋体" w:cs="宋体" w:hint="eastAsia"/>
          <w:bCs/>
          <w:sz w:val="24"/>
          <w:szCs w:val="24"/>
        </w:rPr>
        <w:t>规定，本纠纷中，侵权行为地发生在中国大陆境内，若旅客</w:t>
      </w:r>
      <w:r>
        <w:rPr>
          <w:rFonts w:ascii="宋体" w:hAnsi="宋体" w:cs="宋体" w:hint="eastAsia"/>
          <w:bCs/>
          <w:sz w:val="24"/>
          <w:szCs w:val="24"/>
        </w:rPr>
        <w:lastRenderedPageBreak/>
        <w:t>提起诉讼，被告所在地亦在中国大陆境内，且本纠纷不涉及复杂的涉外民事关系法律冲突。因此，本纠纷应适用中国大陆法律，若旅客提起诉讼的，应由侵权行为地或被告住所地法院管辖。</w:t>
      </w:r>
    </w:p>
    <w:p w14:paraId="4A09AEF9" w14:textId="77777777" w:rsidR="0025099C" w:rsidRDefault="00494EEB">
      <w:pPr>
        <w:spacing w:afterLines="50" w:after="156" w:line="360" w:lineRule="auto"/>
        <w:ind w:firstLineChars="200" w:firstLine="482"/>
        <w:rPr>
          <w:rFonts w:ascii="宋体" w:hAnsi="宋体" w:cs="宋体" w:hint="eastAsia"/>
          <w:bCs/>
          <w:sz w:val="24"/>
          <w:szCs w:val="24"/>
        </w:rPr>
      </w:pPr>
      <w:r>
        <w:rPr>
          <w:rFonts w:ascii="宋体" w:hAnsi="宋体" w:cs="宋体" w:hint="eastAsia"/>
          <w:b/>
          <w:sz w:val="24"/>
          <w:szCs w:val="24"/>
        </w:rPr>
        <w:t>（二）人身损害赔偿的法定项目、赔偿标准及所需文件</w:t>
      </w:r>
    </w:p>
    <w:p w14:paraId="708A6FE1" w14:textId="77777777" w:rsidR="0025099C" w:rsidRDefault="00494EEB">
      <w:pPr>
        <w:spacing w:afterLines="50" w:after="156" w:line="360" w:lineRule="auto"/>
        <w:ind w:firstLineChars="200" w:firstLine="480"/>
        <w:rPr>
          <w:rFonts w:ascii="宋体" w:hAnsi="宋体" w:cs="宋体" w:hint="eastAsia"/>
          <w:bCs/>
          <w:sz w:val="24"/>
          <w:szCs w:val="24"/>
        </w:rPr>
      </w:pPr>
      <w:r>
        <w:rPr>
          <w:rFonts w:ascii="宋体" w:hAnsi="宋体" w:cs="宋体" w:hint="eastAsia"/>
          <w:bCs/>
          <w:sz w:val="24"/>
          <w:szCs w:val="24"/>
        </w:rPr>
        <w:t>关于旅客提出的</w:t>
      </w:r>
      <w:r>
        <w:rPr>
          <w:rFonts w:ascii="宋体" w:hAnsi="宋体" w:cs="宋体" w:hint="eastAsia"/>
          <w:bCs/>
          <w:sz w:val="24"/>
          <w:szCs w:val="24"/>
        </w:rPr>
        <w:t>4</w:t>
      </w:r>
      <w:r>
        <w:rPr>
          <w:rFonts w:ascii="宋体" w:hAnsi="宋体" w:cs="宋体" w:hint="eastAsia"/>
          <w:bCs/>
          <w:sz w:val="24"/>
          <w:szCs w:val="24"/>
        </w:rPr>
        <w:t>万美元赔偿方案</w:t>
      </w:r>
      <w:proofErr w:type="gramStart"/>
      <w:r>
        <w:rPr>
          <w:rFonts w:ascii="宋体" w:hAnsi="宋体" w:cs="宋体" w:hint="eastAsia"/>
          <w:bCs/>
          <w:sz w:val="24"/>
          <w:szCs w:val="24"/>
        </w:rPr>
        <w:t>付是否</w:t>
      </w:r>
      <w:proofErr w:type="gramEnd"/>
      <w:r>
        <w:rPr>
          <w:rFonts w:ascii="宋体" w:hAnsi="宋体" w:cs="宋体" w:hint="eastAsia"/>
          <w:bCs/>
          <w:sz w:val="24"/>
          <w:szCs w:val="24"/>
        </w:rPr>
        <w:t>具有事实和法律依据，在基于国航已确认</w:t>
      </w:r>
      <w:r>
        <w:rPr>
          <w:rFonts w:ascii="宋体" w:hAnsi="宋体" w:cs="宋体" w:hint="eastAsia"/>
          <w:sz w:val="24"/>
          <w:szCs w:val="24"/>
        </w:rPr>
        <w:t>旅客消化道内异物系因食用国航提供的食品导致的前提下，</w:t>
      </w:r>
      <w:r>
        <w:rPr>
          <w:rFonts w:ascii="宋体" w:hAnsi="宋体" w:cs="宋体" w:hint="eastAsia"/>
          <w:bCs/>
          <w:sz w:val="24"/>
          <w:szCs w:val="24"/>
        </w:rPr>
        <w:t>依据《中华人民共和国民法典》第一千一百七十九条</w:t>
      </w:r>
      <w:r>
        <w:rPr>
          <w:rStyle w:val="a9"/>
          <w:rFonts w:ascii="宋体" w:hAnsi="宋体" w:cs="宋体" w:hint="eastAsia"/>
          <w:bCs/>
          <w:sz w:val="24"/>
          <w:szCs w:val="24"/>
        </w:rPr>
        <w:footnoteReference w:id="3"/>
      </w:r>
      <w:r>
        <w:rPr>
          <w:rFonts w:ascii="宋体" w:hAnsi="宋体" w:cs="宋体" w:hint="eastAsia"/>
          <w:bCs/>
          <w:sz w:val="24"/>
          <w:szCs w:val="24"/>
        </w:rPr>
        <w:t>、《中华人民共和国食品安全法》第一百四十八条</w:t>
      </w:r>
      <w:r>
        <w:rPr>
          <w:rStyle w:val="a9"/>
          <w:rFonts w:ascii="宋体" w:hAnsi="宋体" w:cs="宋体" w:hint="eastAsia"/>
          <w:bCs/>
          <w:sz w:val="24"/>
          <w:szCs w:val="24"/>
        </w:rPr>
        <w:footnoteReference w:id="4"/>
      </w:r>
      <w:r>
        <w:rPr>
          <w:rFonts w:ascii="宋体" w:hAnsi="宋体" w:cs="宋体" w:hint="eastAsia"/>
          <w:bCs/>
          <w:sz w:val="24"/>
          <w:szCs w:val="24"/>
        </w:rPr>
        <w:t>、《最高人民法院关于审理食品安全民事纠纷案件适用法律若干问题的解释（一）》第四条</w:t>
      </w:r>
      <w:r>
        <w:rPr>
          <w:rStyle w:val="a9"/>
          <w:rFonts w:ascii="宋体" w:hAnsi="宋体" w:cs="宋体" w:hint="eastAsia"/>
          <w:bCs/>
          <w:sz w:val="24"/>
          <w:szCs w:val="24"/>
        </w:rPr>
        <w:footnoteReference w:id="5"/>
      </w:r>
      <w:r>
        <w:rPr>
          <w:rFonts w:ascii="宋体" w:hAnsi="宋体" w:cs="宋体" w:hint="eastAsia"/>
          <w:bCs/>
          <w:sz w:val="24"/>
          <w:szCs w:val="24"/>
        </w:rPr>
        <w:t>、第六条</w:t>
      </w:r>
      <w:r>
        <w:rPr>
          <w:rStyle w:val="a9"/>
          <w:rFonts w:ascii="宋体" w:hAnsi="宋体" w:cs="宋体" w:hint="eastAsia"/>
          <w:bCs/>
          <w:sz w:val="24"/>
          <w:szCs w:val="24"/>
        </w:rPr>
        <w:footnoteReference w:id="6"/>
      </w:r>
      <w:r>
        <w:rPr>
          <w:rFonts w:ascii="宋体" w:hAnsi="宋体" w:cs="宋体" w:hint="eastAsia"/>
          <w:bCs/>
          <w:sz w:val="24"/>
          <w:szCs w:val="24"/>
        </w:rPr>
        <w:t>、第十条</w:t>
      </w:r>
      <w:r>
        <w:rPr>
          <w:rStyle w:val="a9"/>
          <w:rFonts w:ascii="宋体" w:hAnsi="宋体" w:cs="宋体" w:hint="eastAsia"/>
          <w:bCs/>
          <w:sz w:val="24"/>
          <w:szCs w:val="24"/>
        </w:rPr>
        <w:footnoteReference w:id="7"/>
      </w:r>
      <w:r>
        <w:rPr>
          <w:rFonts w:ascii="宋体" w:hAnsi="宋体" w:cs="宋体" w:hint="eastAsia"/>
          <w:bCs/>
          <w:sz w:val="24"/>
          <w:szCs w:val="24"/>
        </w:rPr>
        <w:t>、《最高人民法院关于审理人身损害赔偿案件适用法律若干问题的解释（</w:t>
      </w:r>
      <w:r>
        <w:rPr>
          <w:rFonts w:ascii="宋体" w:hAnsi="宋体" w:cs="宋体" w:hint="eastAsia"/>
          <w:bCs/>
          <w:sz w:val="24"/>
          <w:szCs w:val="24"/>
        </w:rPr>
        <w:t>2022</w:t>
      </w:r>
      <w:r>
        <w:rPr>
          <w:rFonts w:ascii="宋体" w:hAnsi="宋体" w:cs="宋体" w:hint="eastAsia"/>
          <w:bCs/>
          <w:sz w:val="24"/>
          <w:szCs w:val="24"/>
        </w:rPr>
        <w:t>修正）》第六条</w:t>
      </w:r>
      <w:r>
        <w:rPr>
          <w:rStyle w:val="a9"/>
          <w:rFonts w:ascii="宋体" w:hAnsi="宋体" w:cs="宋体" w:hint="eastAsia"/>
          <w:bCs/>
          <w:sz w:val="24"/>
          <w:szCs w:val="24"/>
        </w:rPr>
        <w:footnoteReference w:id="8"/>
      </w:r>
      <w:r>
        <w:rPr>
          <w:rFonts w:ascii="宋体" w:hAnsi="宋体" w:cs="宋体" w:hint="eastAsia"/>
          <w:bCs/>
          <w:sz w:val="24"/>
          <w:szCs w:val="24"/>
        </w:rPr>
        <w:t>、第七条</w:t>
      </w:r>
      <w:r>
        <w:rPr>
          <w:rStyle w:val="a9"/>
          <w:rFonts w:ascii="宋体" w:hAnsi="宋体" w:cs="宋体" w:hint="eastAsia"/>
          <w:bCs/>
          <w:sz w:val="24"/>
          <w:szCs w:val="24"/>
        </w:rPr>
        <w:footnoteReference w:id="9"/>
      </w:r>
      <w:r>
        <w:rPr>
          <w:rFonts w:ascii="宋体" w:hAnsi="宋体" w:cs="宋体" w:hint="eastAsia"/>
          <w:bCs/>
          <w:sz w:val="24"/>
          <w:szCs w:val="24"/>
        </w:rPr>
        <w:t>、第八条</w:t>
      </w:r>
      <w:r>
        <w:rPr>
          <w:rStyle w:val="a9"/>
          <w:rFonts w:ascii="宋体" w:hAnsi="宋体" w:cs="宋体" w:hint="eastAsia"/>
          <w:bCs/>
          <w:sz w:val="24"/>
          <w:szCs w:val="24"/>
        </w:rPr>
        <w:footnoteReference w:id="10"/>
      </w:r>
      <w:r>
        <w:rPr>
          <w:rFonts w:ascii="宋体" w:hAnsi="宋体" w:cs="宋体" w:hint="eastAsia"/>
          <w:bCs/>
          <w:sz w:val="24"/>
          <w:szCs w:val="24"/>
        </w:rPr>
        <w:t>、第九条</w:t>
      </w:r>
      <w:r>
        <w:rPr>
          <w:rStyle w:val="a9"/>
          <w:rFonts w:ascii="宋体" w:hAnsi="宋体" w:cs="宋体" w:hint="eastAsia"/>
          <w:bCs/>
          <w:sz w:val="24"/>
          <w:szCs w:val="24"/>
        </w:rPr>
        <w:footnoteReference w:id="11"/>
      </w:r>
      <w:r>
        <w:rPr>
          <w:rFonts w:ascii="宋体" w:hAnsi="宋体" w:cs="宋体" w:hint="eastAsia"/>
          <w:bCs/>
          <w:sz w:val="24"/>
          <w:szCs w:val="24"/>
        </w:rPr>
        <w:t>、第十条</w:t>
      </w:r>
      <w:r>
        <w:rPr>
          <w:rStyle w:val="a9"/>
          <w:rFonts w:ascii="宋体" w:hAnsi="宋体" w:cs="宋体" w:hint="eastAsia"/>
          <w:bCs/>
          <w:sz w:val="24"/>
          <w:szCs w:val="24"/>
        </w:rPr>
        <w:footnoteReference w:id="12"/>
      </w:r>
      <w:r>
        <w:rPr>
          <w:rFonts w:ascii="宋体" w:hAnsi="宋体" w:cs="宋体" w:hint="eastAsia"/>
          <w:bCs/>
          <w:sz w:val="24"/>
          <w:szCs w:val="24"/>
        </w:rPr>
        <w:t>、</w:t>
      </w:r>
      <w:r>
        <w:rPr>
          <w:rFonts w:ascii="宋体" w:hAnsi="宋体" w:cs="宋体" w:hint="eastAsia"/>
          <w:bCs/>
          <w:sz w:val="24"/>
          <w:szCs w:val="24"/>
        </w:rPr>
        <w:lastRenderedPageBreak/>
        <w:t>第十一条</w:t>
      </w:r>
      <w:r>
        <w:rPr>
          <w:rStyle w:val="a9"/>
          <w:rFonts w:ascii="宋体" w:hAnsi="宋体" w:cs="宋体" w:hint="eastAsia"/>
          <w:bCs/>
          <w:sz w:val="24"/>
          <w:szCs w:val="24"/>
        </w:rPr>
        <w:footnoteReference w:id="13"/>
      </w:r>
      <w:r>
        <w:rPr>
          <w:rFonts w:ascii="宋体" w:hAnsi="宋体" w:cs="宋体" w:hint="eastAsia"/>
          <w:bCs/>
          <w:sz w:val="24"/>
          <w:szCs w:val="24"/>
        </w:rPr>
        <w:t>等相关规定我们具体分析如下：</w:t>
      </w:r>
    </w:p>
    <w:tbl>
      <w:tblPr>
        <w:tblStyle w:val="a8"/>
        <w:tblW w:w="9942" w:type="dxa"/>
        <w:tblInd w:w="-5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14"/>
        <w:gridCol w:w="3259"/>
        <w:gridCol w:w="2433"/>
        <w:gridCol w:w="2736"/>
      </w:tblGrid>
      <w:tr w:rsidR="0025099C" w14:paraId="4585E84F" w14:textId="77777777">
        <w:trPr>
          <w:trHeight w:val="537"/>
        </w:trPr>
        <w:tc>
          <w:tcPr>
            <w:tcW w:w="1514" w:type="dxa"/>
          </w:tcPr>
          <w:p w14:paraId="09F2FA63" w14:textId="77777777" w:rsidR="0025099C" w:rsidRDefault="00494EEB">
            <w:pPr>
              <w:spacing w:afterLines="50" w:after="156" w:line="360" w:lineRule="auto"/>
              <w:jc w:val="center"/>
              <w:rPr>
                <w:rFonts w:ascii="宋体" w:hAnsi="宋体" w:cs="宋体" w:hint="eastAsia"/>
                <w:b/>
                <w:sz w:val="24"/>
                <w:szCs w:val="24"/>
              </w:rPr>
            </w:pPr>
            <w:r>
              <w:rPr>
                <w:rFonts w:ascii="宋体" w:hAnsi="宋体" w:cs="宋体" w:hint="eastAsia"/>
                <w:b/>
                <w:sz w:val="24"/>
                <w:szCs w:val="24"/>
              </w:rPr>
              <w:t>赔偿项目</w:t>
            </w:r>
          </w:p>
        </w:tc>
        <w:tc>
          <w:tcPr>
            <w:tcW w:w="3259" w:type="dxa"/>
          </w:tcPr>
          <w:p w14:paraId="497C4DF4" w14:textId="77777777" w:rsidR="0025099C" w:rsidRDefault="00494EEB">
            <w:pPr>
              <w:spacing w:afterLines="50" w:after="156" w:line="360" w:lineRule="auto"/>
              <w:jc w:val="center"/>
              <w:rPr>
                <w:rFonts w:ascii="宋体" w:hAnsi="宋体" w:cs="宋体" w:hint="eastAsia"/>
                <w:b/>
                <w:sz w:val="24"/>
                <w:szCs w:val="24"/>
              </w:rPr>
            </w:pPr>
            <w:r>
              <w:rPr>
                <w:rFonts w:ascii="宋体" w:hAnsi="宋体" w:cs="宋体" w:hint="eastAsia"/>
                <w:b/>
                <w:sz w:val="24"/>
                <w:szCs w:val="24"/>
              </w:rPr>
              <w:t>法定计算标准</w:t>
            </w:r>
          </w:p>
        </w:tc>
        <w:tc>
          <w:tcPr>
            <w:tcW w:w="2433" w:type="dxa"/>
          </w:tcPr>
          <w:p w14:paraId="40C76700" w14:textId="77777777" w:rsidR="0025099C" w:rsidRDefault="00494EEB">
            <w:pPr>
              <w:spacing w:afterLines="50" w:after="156" w:line="360" w:lineRule="auto"/>
              <w:jc w:val="center"/>
              <w:rPr>
                <w:rFonts w:ascii="宋体" w:hAnsi="宋体" w:cs="宋体" w:hint="eastAsia"/>
                <w:b/>
                <w:sz w:val="24"/>
                <w:szCs w:val="24"/>
              </w:rPr>
            </w:pPr>
            <w:r>
              <w:rPr>
                <w:rFonts w:ascii="宋体" w:hAnsi="宋体" w:cs="宋体" w:hint="eastAsia"/>
                <w:b/>
                <w:sz w:val="24"/>
                <w:szCs w:val="24"/>
              </w:rPr>
              <w:t>赔偿所需文件</w:t>
            </w:r>
          </w:p>
        </w:tc>
        <w:tc>
          <w:tcPr>
            <w:tcW w:w="2736" w:type="dxa"/>
          </w:tcPr>
          <w:p w14:paraId="3CC75147" w14:textId="77777777" w:rsidR="0025099C" w:rsidRDefault="00494EEB">
            <w:pPr>
              <w:spacing w:afterLines="50" w:after="156" w:line="360" w:lineRule="auto"/>
              <w:jc w:val="left"/>
              <w:rPr>
                <w:rFonts w:ascii="宋体" w:hAnsi="宋体" w:cs="宋体" w:hint="eastAsia"/>
                <w:b/>
                <w:sz w:val="24"/>
                <w:szCs w:val="24"/>
              </w:rPr>
            </w:pPr>
            <w:r>
              <w:rPr>
                <w:rFonts w:ascii="宋体" w:hAnsi="宋体" w:cs="宋体" w:hint="eastAsia"/>
                <w:b/>
                <w:sz w:val="24"/>
                <w:szCs w:val="24"/>
              </w:rPr>
              <w:t>本纠纷中是否需要赔偿</w:t>
            </w:r>
          </w:p>
        </w:tc>
      </w:tr>
      <w:tr w:rsidR="0025099C" w14:paraId="6A5F0AE1" w14:textId="77777777">
        <w:trPr>
          <w:trHeight w:val="1467"/>
        </w:trPr>
        <w:tc>
          <w:tcPr>
            <w:tcW w:w="1514" w:type="dxa"/>
          </w:tcPr>
          <w:p w14:paraId="3D2DFE88" w14:textId="77777777" w:rsidR="0025099C" w:rsidRDefault="00494EEB">
            <w:pPr>
              <w:spacing w:afterLines="50" w:after="156" w:line="360" w:lineRule="auto"/>
              <w:jc w:val="center"/>
              <w:rPr>
                <w:rFonts w:ascii="宋体" w:hAnsi="宋体" w:cs="宋体" w:hint="eastAsia"/>
                <w:b/>
                <w:sz w:val="24"/>
                <w:szCs w:val="24"/>
              </w:rPr>
            </w:pPr>
            <w:r>
              <w:rPr>
                <w:rFonts w:ascii="宋体" w:hAnsi="宋体" w:cs="宋体" w:hint="eastAsia"/>
                <w:b/>
                <w:sz w:val="24"/>
                <w:szCs w:val="24"/>
              </w:rPr>
              <w:t>医疗费</w:t>
            </w:r>
          </w:p>
        </w:tc>
        <w:tc>
          <w:tcPr>
            <w:tcW w:w="3259" w:type="dxa"/>
          </w:tcPr>
          <w:p w14:paraId="288A8D76" w14:textId="77777777" w:rsidR="0025099C" w:rsidRDefault="00494EEB">
            <w:pPr>
              <w:spacing w:afterLines="50" w:after="156" w:line="360" w:lineRule="auto"/>
              <w:rPr>
                <w:rFonts w:ascii="宋体" w:hAnsi="宋体" w:cs="宋体" w:hint="eastAsia"/>
                <w:bCs/>
                <w:sz w:val="24"/>
                <w:szCs w:val="24"/>
              </w:rPr>
            </w:pPr>
            <w:r>
              <w:rPr>
                <w:rFonts w:ascii="宋体" w:hAnsi="宋体" w:cs="宋体"/>
                <w:bCs/>
                <w:sz w:val="24"/>
                <w:szCs w:val="24"/>
              </w:rPr>
              <w:t>凭医疗机构出具的医疗费、住院费等收款凭证，结合病历和诊断证明据实计算</w:t>
            </w:r>
          </w:p>
        </w:tc>
        <w:tc>
          <w:tcPr>
            <w:tcW w:w="2433" w:type="dxa"/>
          </w:tcPr>
          <w:p w14:paraId="6661AA7A" w14:textId="77777777" w:rsidR="0025099C" w:rsidRDefault="00494EEB">
            <w:pPr>
              <w:spacing w:afterLines="50" w:after="156" w:line="360" w:lineRule="auto"/>
              <w:rPr>
                <w:rFonts w:ascii="宋体" w:hAnsi="宋体" w:cs="宋体" w:hint="eastAsia"/>
                <w:bCs/>
                <w:sz w:val="24"/>
                <w:szCs w:val="24"/>
              </w:rPr>
            </w:pPr>
            <w:r>
              <w:rPr>
                <w:rFonts w:ascii="宋体" w:hAnsi="宋体" w:cs="宋体"/>
                <w:bCs/>
                <w:sz w:val="24"/>
                <w:szCs w:val="24"/>
              </w:rPr>
              <w:t>急诊病历、诊断证明、医疗费票据</w:t>
            </w:r>
          </w:p>
        </w:tc>
        <w:tc>
          <w:tcPr>
            <w:tcW w:w="2736" w:type="dxa"/>
          </w:tcPr>
          <w:p w14:paraId="4BD5F684" w14:textId="77777777" w:rsidR="0025099C" w:rsidRDefault="00494EEB">
            <w:pPr>
              <w:spacing w:afterLines="50" w:after="156" w:line="360" w:lineRule="auto"/>
              <w:rPr>
                <w:rFonts w:ascii="宋体" w:hAnsi="宋体" w:cs="宋体" w:hint="eastAsia"/>
                <w:bCs/>
                <w:sz w:val="24"/>
                <w:szCs w:val="24"/>
              </w:rPr>
            </w:pPr>
            <w:r>
              <w:rPr>
                <w:rFonts w:ascii="宋体" w:hAnsi="宋体" w:cs="宋体"/>
                <w:bCs/>
                <w:sz w:val="24"/>
                <w:szCs w:val="24"/>
              </w:rPr>
              <w:t>顾客实际支出</w:t>
            </w:r>
            <w:r>
              <w:rPr>
                <w:rFonts w:ascii="宋体" w:hAnsi="宋体" w:cs="宋体"/>
                <w:bCs/>
                <w:sz w:val="24"/>
                <w:szCs w:val="24"/>
              </w:rPr>
              <w:t>125</w:t>
            </w:r>
            <w:r>
              <w:rPr>
                <w:rFonts w:ascii="宋体" w:hAnsi="宋体" w:cs="宋体"/>
                <w:bCs/>
                <w:sz w:val="24"/>
                <w:szCs w:val="24"/>
              </w:rPr>
              <w:t>元急诊费</w:t>
            </w:r>
            <w:r>
              <w:rPr>
                <w:rFonts w:ascii="宋体" w:hAnsi="宋体" w:cs="宋体" w:hint="eastAsia"/>
                <w:bCs/>
                <w:sz w:val="24"/>
                <w:szCs w:val="24"/>
              </w:rPr>
              <w:t>，应予赔偿</w:t>
            </w:r>
          </w:p>
        </w:tc>
      </w:tr>
      <w:tr w:rsidR="0025099C" w14:paraId="5D408617" w14:textId="77777777">
        <w:trPr>
          <w:trHeight w:val="2329"/>
        </w:trPr>
        <w:tc>
          <w:tcPr>
            <w:tcW w:w="1514" w:type="dxa"/>
          </w:tcPr>
          <w:p w14:paraId="5B314D47" w14:textId="77777777" w:rsidR="0025099C" w:rsidRDefault="00494EEB">
            <w:pPr>
              <w:spacing w:afterLines="50" w:after="156" w:line="360" w:lineRule="auto"/>
              <w:jc w:val="center"/>
              <w:rPr>
                <w:rFonts w:ascii="宋体" w:hAnsi="宋体" w:cs="宋体" w:hint="eastAsia"/>
                <w:bCs/>
                <w:sz w:val="24"/>
                <w:szCs w:val="24"/>
              </w:rPr>
            </w:pPr>
            <w:r>
              <w:rPr>
                <w:rFonts w:ascii="宋体" w:hAnsi="宋体" w:cs="宋体" w:hint="eastAsia"/>
                <w:b/>
                <w:sz w:val="24"/>
                <w:szCs w:val="24"/>
              </w:rPr>
              <w:t>误工费</w:t>
            </w:r>
          </w:p>
        </w:tc>
        <w:tc>
          <w:tcPr>
            <w:tcW w:w="3259" w:type="dxa"/>
          </w:tcPr>
          <w:p w14:paraId="0D6E7A15" w14:textId="77777777" w:rsidR="0025099C" w:rsidRDefault="00494EEB">
            <w:pPr>
              <w:spacing w:afterLines="50" w:after="156" w:line="360" w:lineRule="auto"/>
              <w:rPr>
                <w:rFonts w:ascii="宋体" w:hAnsi="宋体" w:cs="宋体" w:hint="eastAsia"/>
                <w:bCs/>
                <w:sz w:val="24"/>
                <w:szCs w:val="24"/>
              </w:rPr>
            </w:pPr>
            <w:r>
              <w:rPr>
                <w:rFonts w:ascii="宋体" w:hAnsi="宋体" w:cs="宋体" w:hint="eastAsia"/>
                <w:bCs/>
                <w:sz w:val="24"/>
                <w:szCs w:val="24"/>
              </w:rPr>
              <w:t>首先确定具体误工天数，其次，</w:t>
            </w:r>
            <w:r>
              <w:rPr>
                <w:rFonts w:ascii="宋体" w:hAnsi="宋体" w:cs="宋体"/>
                <w:bCs/>
                <w:sz w:val="24"/>
                <w:szCs w:val="24"/>
              </w:rPr>
              <w:t>有固定收入</w:t>
            </w:r>
            <w:r>
              <w:rPr>
                <w:rFonts w:ascii="宋体" w:hAnsi="宋体" w:cs="宋体" w:hint="eastAsia"/>
                <w:bCs/>
                <w:sz w:val="24"/>
                <w:szCs w:val="24"/>
              </w:rPr>
              <w:t>的</w:t>
            </w:r>
            <w:r>
              <w:rPr>
                <w:rFonts w:ascii="宋体" w:hAnsi="宋体" w:cs="宋体"/>
                <w:bCs/>
                <w:sz w:val="24"/>
                <w:szCs w:val="24"/>
              </w:rPr>
              <w:t>按实际减少的收入计算</w:t>
            </w:r>
            <w:r>
              <w:rPr>
                <w:rFonts w:ascii="宋体" w:hAnsi="宋体" w:cs="宋体" w:hint="eastAsia"/>
                <w:bCs/>
                <w:sz w:val="24"/>
                <w:szCs w:val="24"/>
              </w:rPr>
              <w:t>，</w:t>
            </w:r>
            <w:r>
              <w:rPr>
                <w:rFonts w:ascii="宋体" w:hAnsi="宋体" w:cs="宋体"/>
                <w:bCs/>
                <w:sz w:val="24"/>
                <w:szCs w:val="24"/>
              </w:rPr>
              <w:t>无固定收入</w:t>
            </w:r>
            <w:r>
              <w:rPr>
                <w:rFonts w:ascii="宋体" w:hAnsi="宋体" w:cs="宋体" w:hint="eastAsia"/>
                <w:bCs/>
                <w:sz w:val="24"/>
                <w:szCs w:val="24"/>
              </w:rPr>
              <w:t>的</w:t>
            </w:r>
            <w:r>
              <w:rPr>
                <w:rFonts w:ascii="宋体" w:hAnsi="宋体" w:cs="宋体"/>
                <w:bCs/>
                <w:sz w:val="24"/>
                <w:szCs w:val="24"/>
              </w:rPr>
              <w:t>参照近三年平均收入或相同行业标准</w:t>
            </w:r>
          </w:p>
        </w:tc>
        <w:tc>
          <w:tcPr>
            <w:tcW w:w="2433" w:type="dxa"/>
          </w:tcPr>
          <w:p w14:paraId="624E3093" w14:textId="77777777" w:rsidR="0025099C" w:rsidRDefault="00494EEB">
            <w:pPr>
              <w:spacing w:afterLines="50" w:after="156" w:line="360" w:lineRule="auto"/>
              <w:rPr>
                <w:rFonts w:ascii="宋体" w:hAnsi="宋体" w:cs="宋体" w:hint="eastAsia"/>
                <w:bCs/>
                <w:sz w:val="24"/>
                <w:szCs w:val="24"/>
              </w:rPr>
            </w:pPr>
            <w:r>
              <w:rPr>
                <w:rFonts w:ascii="宋体" w:hAnsi="宋体" w:cs="宋体"/>
                <w:bCs/>
                <w:sz w:val="24"/>
                <w:szCs w:val="24"/>
              </w:rPr>
              <w:t>劳动合同、工资单、单位误工证明、纳税记录</w:t>
            </w:r>
          </w:p>
        </w:tc>
        <w:tc>
          <w:tcPr>
            <w:tcW w:w="2736" w:type="dxa"/>
          </w:tcPr>
          <w:p w14:paraId="6CAA530A" w14:textId="77777777" w:rsidR="0025099C" w:rsidRDefault="00494EEB">
            <w:pPr>
              <w:spacing w:afterLines="50" w:after="156" w:line="360" w:lineRule="auto"/>
              <w:rPr>
                <w:rFonts w:ascii="宋体" w:hAnsi="宋体" w:cs="宋体" w:hint="eastAsia"/>
                <w:bCs/>
                <w:sz w:val="24"/>
                <w:szCs w:val="24"/>
              </w:rPr>
            </w:pPr>
            <w:r>
              <w:rPr>
                <w:rFonts w:ascii="宋体" w:hAnsi="宋体" w:cs="宋体"/>
                <w:bCs/>
                <w:sz w:val="24"/>
                <w:szCs w:val="24"/>
              </w:rPr>
              <w:t>若</w:t>
            </w:r>
            <w:r>
              <w:rPr>
                <w:rFonts w:ascii="宋体" w:hAnsi="宋体" w:cs="宋体" w:hint="eastAsia"/>
                <w:bCs/>
                <w:sz w:val="24"/>
                <w:szCs w:val="24"/>
              </w:rPr>
              <w:t>旅客</w:t>
            </w:r>
            <w:r>
              <w:rPr>
                <w:rFonts w:ascii="宋体" w:hAnsi="宋体" w:cs="宋体"/>
                <w:bCs/>
                <w:sz w:val="24"/>
                <w:szCs w:val="24"/>
              </w:rPr>
              <w:t>能</w:t>
            </w:r>
            <w:r>
              <w:rPr>
                <w:rFonts w:ascii="宋体" w:hAnsi="宋体" w:cs="宋体" w:hint="eastAsia"/>
                <w:bCs/>
                <w:sz w:val="24"/>
                <w:szCs w:val="24"/>
              </w:rPr>
              <w:t>举证证明存在</w:t>
            </w:r>
            <w:r>
              <w:rPr>
                <w:rFonts w:ascii="宋体" w:hAnsi="宋体" w:cs="宋体"/>
                <w:bCs/>
                <w:sz w:val="24"/>
                <w:szCs w:val="24"/>
              </w:rPr>
              <w:t>误工，需赔偿</w:t>
            </w:r>
            <w:r>
              <w:rPr>
                <w:rFonts w:ascii="宋体" w:hAnsi="宋体" w:cs="宋体" w:hint="eastAsia"/>
                <w:bCs/>
                <w:sz w:val="24"/>
                <w:szCs w:val="24"/>
              </w:rPr>
              <w:t>，</w:t>
            </w:r>
            <w:r>
              <w:rPr>
                <w:rFonts w:ascii="宋体" w:hAnsi="宋体" w:cs="宋体"/>
                <w:bCs/>
                <w:sz w:val="24"/>
                <w:szCs w:val="24"/>
              </w:rPr>
              <w:t>目前无相关信息支持</w:t>
            </w:r>
            <w:r>
              <w:rPr>
                <w:rFonts w:ascii="宋体" w:hAnsi="宋体" w:cs="宋体" w:hint="eastAsia"/>
                <w:bCs/>
                <w:sz w:val="24"/>
                <w:szCs w:val="24"/>
              </w:rPr>
              <w:t>赔偿此项</w:t>
            </w:r>
          </w:p>
        </w:tc>
      </w:tr>
      <w:tr w:rsidR="0025099C" w14:paraId="5EE109BE" w14:textId="77777777">
        <w:trPr>
          <w:trHeight w:val="1879"/>
        </w:trPr>
        <w:tc>
          <w:tcPr>
            <w:tcW w:w="1514" w:type="dxa"/>
          </w:tcPr>
          <w:p w14:paraId="0F650A15" w14:textId="77777777" w:rsidR="0025099C" w:rsidRDefault="00494EEB">
            <w:pPr>
              <w:spacing w:afterLines="50" w:after="156" w:line="360" w:lineRule="auto"/>
              <w:jc w:val="center"/>
              <w:rPr>
                <w:rFonts w:ascii="宋体" w:hAnsi="宋体" w:cs="宋体" w:hint="eastAsia"/>
                <w:bCs/>
                <w:sz w:val="24"/>
                <w:szCs w:val="24"/>
              </w:rPr>
            </w:pPr>
            <w:r>
              <w:rPr>
                <w:rFonts w:ascii="宋体" w:hAnsi="宋体" w:cs="宋体"/>
                <w:b/>
                <w:sz w:val="24"/>
                <w:szCs w:val="24"/>
              </w:rPr>
              <w:t>护理费</w:t>
            </w:r>
          </w:p>
        </w:tc>
        <w:tc>
          <w:tcPr>
            <w:tcW w:w="3259" w:type="dxa"/>
          </w:tcPr>
          <w:p w14:paraId="3240866C" w14:textId="77777777" w:rsidR="0025099C" w:rsidRDefault="00494EEB">
            <w:pPr>
              <w:spacing w:afterLines="50" w:after="156" w:line="360" w:lineRule="auto"/>
              <w:rPr>
                <w:rFonts w:ascii="宋体" w:hAnsi="宋体" w:cs="宋体" w:hint="eastAsia"/>
                <w:bCs/>
                <w:sz w:val="24"/>
                <w:szCs w:val="24"/>
              </w:rPr>
            </w:pPr>
            <w:r>
              <w:rPr>
                <w:rFonts w:ascii="宋体" w:hAnsi="宋体" w:cs="宋体"/>
                <w:bCs/>
                <w:sz w:val="24"/>
                <w:szCs w:val="24"/>
              </w:rPr>
              <w:t>根据医嘱的护理人数和期限计算</w:t>
            </w:r>
          </w:p>
        </w:tc>
        <w:tc>
          <w:tcPr>
            <w:tcW w:w="2433" w:type="dxa"/>
          </w:tcPr>
          <w:p w14:paraId="707198F3" w14:textId="77777777" w:rsidR="0025099C" w:rsidRDefault="00494EEB">
            <w:pPr>
              <w:spacing w:afterLines="50" w:after="156" w:line="360" w:lineRule="auto"/>
              <w:rPr>
                <w:rFonts w:ascii="宋体" w:hAnsi="宋体" w:cs="宋体" w:hint="eastAsia"/>
                <w:bCs/>
                <w:sz w:val="24"/>
                <w:szCs w:val="24"/>
              </w:rPr>
            </w:pPr>
            <w:r>
              <w:rPr>
                <w:rFonts w:ascii="宋体" w:hAnsi="宋体" w:cs="宋体" w:hint="eastAsia"/>
                <w:bCs/>
                <w:sz w:val="24"/>
                <w:szCs w:val="24"/>
              </w:rPr>
              <w:t>医院出具的需护理证明、护理费票据或护理人员收入证明</w:t>
            </w:r>
          </w:p>
        </w:tc>
        <w:tc>
          <w:tcPr>
            <w:tcW w:w="2736" w:type="dxa"/>
          </w:tcPr>
          <w:p w14:paraId="51059990" w14:textId="77777777" w:rsidR="0025099C" w:rsidRDefault="00494EEB">
            <w:pPr>
              <w:spacing w:afterLines="50" w:after="156" w:line="360" w:lineRule="auto"/>
              <w:rPr>
                <w:rFonts w:ascii="宋体" w:hAnsi="宋体" w:cs="宋体" w:hint="eastAsia"/>
                <w:bCs/>
                <w:sz w:val="24"/>
                <w:szCs w:val="24"/>
              </w:rPr>
            </w:pPr>
            <w:r>
              <w:rPr>
                <w:rFonts w:ascii="宋体" w:hAnsi="宋体" w:cs="宋体" w:hint="eastAsia"/>
                <w:bCs/>
                <w:sz w:val="24"/>
                <w:szCs w:val="24"/>
              </w:rPr>
              <w:t>目前旅客未提供证据证明其存在护理需求，无医嘱表明需专人护理，无相关信息支持赔偿此项</w:t>
            </w:r>
          </w:p>
        </w:tc>
      </w:tr>
      <w:tr w:rsidR="0025099C" w14:paraId="4EEECDA3" w14:textId="77777777">
        <w:tc>
          <w:tcPr>
            <w:tcW w:w="1514" w:type="dxa"/>
          </w:tcPr>
          <w:p w14:paraId="7A3FB575" w14:textId="77777777" w:rsidR="0025099C" w:rsidRDefault="00494EEB">
            <w:pPr>
              <w:spacing w:afterLines="50" w:after="156" w:line="360" w:lineRule="auto"/>
              <w:jc w:val="center"/>
              <w:rPr>
                <w:rFonts w:ascii="宋体" w:hAnsi="宋体" w:cs="宋体" w:hint="eastAsia"/>
                <w:bCs/>
                <w:sz w:val="24"/>
                <w:szCs w:val="24"/>
              </w:rPr>
            </w:pPr>
            <w:r>
              <w:rPr>
                <w:rFonts w:ascii="宋体" w:hAnsi="宋体" w:cs="宋体"/>
                <w:b/>
                <w:sz w:val="24"/>
                <w:szCs w:val="24"/>
              </w:rPr>
              <w:t>交通费</w:t>
            </w:r>
          </w:p>
        </w:tc>
        <w:tc>
          <w:tcPr>
            <w:tcW w:w="3259" w:type="dxa"/>
          </w:tcPr>
          <w:p w14:paraId="792137DF" w14:textId="77777777" w:rsidR="0025099C" w:rsidRDefault="00494EEB">
            <w:pPr>
              <w:spacing w:afterLines="50" w:after="156" w:line="360" w:lineRule="auto"/>
              <w:rPr>
                <w:rFonts w:ascii="宋体" w:hAnsi="宋体" w:cs="宋体" w:hint="eastAsia"/>
                <w:bCs/>
                <w:sz w:val="24"/>
                <w:szCs w:val="24"/>
              </w:rPr>
            </w:pPr>
            <w:r>
              <w:rPr>
                <w:rFonts w:ascii="宋体" w:hAnsi="宋体" w:cs="宋体"/>
                <w:bCs/>
                <w:sz w:val="24"/>
                <w:szCs w:val="24"/>
              </w:rPr>
              <w:t>按实际往返医院的交通票据计算</w:t>
            </w:r>
          </w:p>
        </w:tc>
        <w:tc>
          <w:tcPr>
            <w:tcW w:w="2433" w:type="dxa"/>
          </w:tcPr>
          <w:p w14:paraId="0A695549" w14:textId="77777777" w:rsidR="0025099C" w:rsidRDefault="00494EEB">
            <w:pPr>
              <w:spacing w:afterLines="50" w:after="156" w:line="360" w:lineRule="auto"/>
              <w:rPr>
                <w:rFonts w:ascii="宋体" w:hAnsi="宋体" w:cs="宋体" w:hint="eastAsia"/>
                <w:bCs/>
                <w:sz w:val="24"/>
                <w:szCs w:val="24"/>
              </w:rPr>
            </w:pPr>
            <w:r>
              <w:rPr>
                <w:rFonts w:ascii="宋体" w:hAnsi="宋体" w:cs="宋体"/>
                <w:bCs/>
                <w:sz w:val="24"/>
                <w:szCs w:val="24"/>
              </w:rPr>
              <w:t>交通费凭证</w:t>
            </w:r>
          </w:p>
        </w:tc>
        <w:tc>
          <w:tcPr>
            <w:tcW w:w="2736" w:type="dxa"/>
          </w:tcPr>
          <w:p w14:paraId="05F97AF5" w14:textId="77777777" w:rsidR="0025099C" w:rsidRDefault="00494EEB">
            <w:pPr>
              <w:spacing w:afterLines="50" w:after="156" w:line="360" w:lineRule="auto"/>
              <w:rPr>
                <w:rFonts w:ascii="宋体" w:hAnsi="宋体" w:cs="宋体" w:hint="eastAsia"/>
                <w:bCs/>
                <w:sz w:val="24"/>
                <w:szCs w:val="24"/>
              </w:rPr>
            </w:pPr>
            <w:r>
              <w:rPr>
                <w:rFonts w:ascii="宋体" w:hAnsi="宋体" w:cs="宋体" w:hint="eastAsia"/>
                <w:bCs/>
                <w:sz w:val="24"/>
                <w:szCs w:val="24"/>
              </w:rPr>
              <w:t>旅客自行就医的，需提供相应票据，目前无相关信息支持赔偿此项</w:t>
            </w:r>
          </w:p>
        </w:tc>
      </w:tr>
      <w:tr w:rsidR="0025099C" w14:paraId="5CDEA073" w14:textId="77777777">
        <w:tc>
          <w:tcPr>
            <w:tcW w:w="1514" w:type="dxa"/>
          </w:tcPr>
          <w:p w14:paraId="3A53CEBE" w14:textId="77777777" w:rsidR="0025099C" w:rsidRDefault="00494EEB">
            <w:pPr>
              <w:spacing w:afterLines="50" w:after="156" w:line="360" w:lineRule="auto"/>
              <w:jc w:val="center"/>
              <w:rPr>
                <w:rFonts w:ascii="宋体" w:hAnsi="宋体" w:cs="宋体" w:hint="eastAsia"/>
                <w:bCs/>
                <w:sz w:val="24"/>
                <w:szCs w:val="24"/>
              </w:rPr>
            </w:pPr>
            <w:r>
              <w:rPr>
                <w:rFonts w:ascii="宋体" w:hAnsi="宋体" w:cs="宋体"/>
                <w:b/>
                <w:sz w:val="24"/>
                <w:szCs w:val="24"/>
              </w:rPr>
              <w:t>营养费</w:t>
            </w:r>
          </w:p>
        </w:tc>
        <w:tc>
          <w:tcPr>
            <w:tcW w:w="3259" w:type="dxa"/>
          </w:tcPr>
          <w:p w14:paraId="3C2F1169" w14:textId="77777777" w:rsidR="0025099C" w:rsidRDefault="00494EEB">
            <w:pPr>
              <w:spacing w:afterLines="50" w:after="156" w:line="360" w:lineRule="auto"/>
              <w:rPr>
                <w:rFonts w:ascii="宋体" w:hAnsi="宋体" w:cs="宋体" w:hint="eastAsia"/>
                <w:bCs/>
                <w:sz w:val="24"/>
                <w:szCs w:val="24"/>
              </w:rPr>
            </w:pPr>
            <w:r>
              <w:rPr>
                <w:rFonts w:ascii="宋体" w:hAnsi="宋体" w:cs="宋体" w:hint="eastAsia"/>
                <w:bCs/>
                <w:sz w:val="24"/>
                <w:szCs w:val="24"/>
              </w:rPr>
              <w:t>按照医嘱，北京地区一般为</w:t>
            </w:r>
            <w:r>
              <w:rPr>
                <w:rFonts w:ascii="宋体" w:hAnsi="宋体" w:cs="宋体" w:hint="eastAsia"/>
                <w:bCs/>
                <w:sz w:val="24"/>
                <w:szCs w:val="24"/>
              </w:rPr>
              <w:t>50</w:t>
            </w:r>
            <w:r>
              <w:rPr>
                <w:rFonts w:ascii="宋体" w:hAnsi="宋体" w:cs="宋体" w:hint="eastAsia"/>
                <w:bCs/>
                <w:sz w:val="24"/>
                <w:szCs w:val="24"/>
              </w:rPr>
              <w:t>元</w:t>
            </w:r>
            <w:r>
              <w:rPr>
                <w:rFonts w:ascii="宋体" w:hAnsi="宋体" w:cs="宋体" w:hint="eastAsia"/>
                <w:bCs/>
                <w:sz w:val="24"/>
                <w:szCs w:val="24"/>
              </w:rPr>
              <w:t>/</w:t>
            </w:r>
            <w:r>
              <w:rPr>
                <w:rFonts w:ascii="宋体" w:hAnsi="宋体" w:cs="宋体" w:hint="eastAsia"/>
                <w:bCs/>
                <w:sz w:val="24"/>
                <w:szCs w:val="24"/>
              </w:rPr>
              <w:t>天计算</w:t>
            </w:r>
          </w:p>
        </w:tc>
        <w:tc>
          <w:tcPr>
            <w:tcW w:w="2433" w:type="dxa"/>
          </w:tcPr>
          <w:p w14:paraId="74BBC06F" w14:textId="77777777" w:rsidR="0025099C" w:rsidRDefault="00494EEB">
            <w:pPr>
              <w:spacing w:afterLines="50" w:after="156" w:line="360" w:lineRule="auto"/>
              <w:rPr>
                <w:rFonts w:ascii="宋体" w:hAnsi="宋体" w:cs="宋体" w:hint="eastAsia"/>
                <w:bCs/>
                <w:sz w:val="24"/>
                <w:szCs w:val="24"/>
              </w:rPr>
            </w:pPr>
            <w:r>
              <w:rPr>
                <w:rFonts w:ascii="宋体" w:hAnsi="宋体" w:cs="宋体" w:hint="eastAsia"/>
                <w:bCs/>
                <w:sz w:val="24"/>
                <w:szCs w:val="24"/>
              </w:rPr>
              <w:t>医嘱或医院出具的营养需求证明</w:t>
            </w:r>
          </w:p>
        </w:tc>
        <w:tc>
          <w:tcPr>
            <w:tcW w:w="2736" w:type="dxa"/>
          </w:tcPr>
          <w:p w14:paraId="61D2539D" w14:textId="77777777" w:rsidR="0025099C" w:rsidRDefault="00494EEB">
            <w:pPr>
              <w:spacing w:afterLines="50" w:after="156" w:line="360" w:lineRule="auto"/>
              <w:rPr>
                <w:rFonts w:ascii="宋体" w:hAnsi="宋体" w:cs="宋体" w:hint="eastAsia"/>
                <w:bCs/>
                <w:sz w:val="24"/>
                <w:szCs w:val="24"/>
              </w:rPr>
            </w:pPr>
            <w:r>
              <w:rPr>
                <w:rFonts w:ascii="宋体" w:hAnsi="宋体" w:cs="宋体" w:hint="eastAsia"/>
                <w:bCs/>
                <w:sz w:val="24"/>
                <w:szCs w:val="24"/>
              </w:rPr>
              <w:t>目前旅客未提供相关信息支持此项</w:t>
            </w:r>
          </w:p>
        </w:tc>
      </w:tr>
      <w:tr w:rsidR="0025099C" w14:paraId="406DF8B1" w14:textId="77777777">
        <w:tc>
          <w:tcPr>
            <w:tcW w:w="1514" w:type="dxa"/>
          </w:tcPr>
          <w:p w14:paraId="63BE43A0" w14:textId="77777777" w:rsidR="0025099C" w:rsidRDefault="00494EEB">
            <w:pPr>
              <w:spacing w:afterLines="50" w:after="156" w:line="360" w:lineRule="auto"/>
              <w:jc w:val="center"/>
              <w:rPr>
                <w:rFonts w:ascii="宋体" w:hAnsi="宋体" w:cs="宋体" w:hint="eastAsia"/>
                <w:bCs/>
                <w:sz w:val="24"/>
                <w:szCs w:val="24"/>
              </w:rPr>
            </w:pPr>
            <w:r>
              <w:rPr>
                <w:rFonts w:ascii="宋体" w:hAnsi="宋体" w:cs="宋体" w:hint="eastAsia"/>
                <w:b/>
                <w:sz w:val="24"/>
                <w:szCs w:val="24"/>
              </w:rPr>
              <w:lastRenderedPageBreak/>
              <w:t>精神损害抚慰金</w:t>
            </w:r>
          </w:p>
        </w:tc>
        <w:tc>
          <w:tcPr>
            <w:tcW w:w="3259" w:type="dxa"/>
          </w:tcPr>
          <w:p w14:paraId="153547E4" w14:textId="77777777" w:rsidR="0025099C" w:rsidRDefault="00494EEB">
            <w:pPr>
              <w:spacing w:afterLines="50" w:after="156" w:line="360" w:lineRule="auto"/>
              <w:rPr>
                <w:rFonts w:ascii="宋体" w:hAnsi="宋体" w:cs="宋体" w:hint="eastAsia"/>
                <w:bCs/>
                <w:sz w:val="24"/>
                <w:szCs w:val="24"/>
              </w:rPr>
            </w:pPr>
            <w:r>
              <w:rPr>
                <w:rFonts w:ascii="宋体" w:hAnsi="宋体" w:cs="宋体" w:hint="eastAsia"/>
                <w:bCs/>
                <w:sz w:val="24"/>
                <w:szCs w:val="24"/>
              </w:rPr>
              <w:t>造成严重精神损害的，金额一般在诉讼中由人民法院酌定</w:t>
            </w:r>
          </w:p>
        </w:tc>
        <w:tc>
          <w:tcPr>
            <w:tcW w:w="2433" w:type="dxa"/>
          </w:tcPr>
          <w:p w14:paraId="3813A57C" w14:textId="77777777" w:rsidR="0025099C" w:rsidRDefault="00494EEB">
            <w:pPr>
              <w:spacing w:afterLines="50" w:after="156" w:line="360" w:lineRule="auto"/>
              <w:rPr>
                <w:rFonts w:ascii="宋体" w:hAnsi="宋体" w:cs="宋体" w:hint="eastAsia"/>
                <w:bCs/>
                <w:sz w:val="24"/>
                <w:szCs w:val="24"/>
              </w:rPr>
            </w:pPr>
            <w:r>
              <w:rPr>
                <w:rFonts w:ascii="宋体" w:hAnsi="宋体" w:cs="宋体" w:hint="eastAsia"/>
                <w:bCs/>
                <w:sz w:val="24"/>
                <w:szCs w:val="24"/>
              </w:rPr>
              <w:t>通常需要</w:t>
            </w:r>
            <w:r>
              <w:rPr>
                <w:rFonts w:ascii="宋体" w:hAnsi="宋体" w:cs="宋体"/>
                <w:bCs/>
                <w:sz w:val="24"/>
                <w:szCs w:val="24"/>
              </w:rPr>
              <w:t>构成伤残的司法鉴定资料、</w:t>
            </w:r>
            <w:r>
              <w:rPr>
                <w:rFonts w:ascii="宋体" w:hAnsi="宋体" w:cs="宋体" w:hint="eastAsia"/>
                <w:bCs/>
                <w:sz w:val="24"/>
                <w:szCs w:val="24"/>
              </w:rPr>
              <w:t>或造成</w:t>
            </w:r>
            <w:r>
              <w:rPr>
                <w:rFonts w:ascii="宋体" w:hAnsi="宋体" w:cs="宋体"/>
                <w:bCs/>
                <w:sz w:val="24"/>
                <w:szCs w:val="24"/>
              </w:rPr>
              <w:t>死亡、永久性心理障碍、或对</w:t>
            </w:r>
            <w:r>
              <w:rPr>
                <w:rFonts w:ascii="宋体" w:hAnsi="宋体" w:cs="宋体" w:hint="eastAsia"/>
                <w:bCs/>
                <w:sz w:val="24"/>
                <w:szCs w:val="24"/>
              </w:rPr>
              <w:t>其</w:t>
            </w:r>
            <w:r>
              <w:rPr>
                <w:rFonts w:ascii="宋体" w:hAnsi="宋体" w:cs="宋体"/>
                <w:bCs/>
                <w:sz w:val="24"/>
                <w:szCs w:val="24"/>
              </w:rPr>
              <w:t>名誉、隐私均造成了恶劣且广泛的影响</w:t>
            </w:r>
            <w:r>
              <w:rPr>
                <w:rFonts w:ascii="宋体" w:hAnsi="宋体" w:cs="宋体" w:hint="eastAsia"/>
                <w:bCs/>
                <w:sz w:val="24"/>
                <w:szCs w:val="24"/>
              </w:rPr>
              <w:t>的</w:t>
            </w:r>
          </w:p>
        </w:tc>
        <w:tc>
          <w:tcPr>
            <w:tcW w:w="2736" w:type="dxa"/>
          </w:tcPr>
          <w:p w14:paraId="64C04D9A" w14:textId="77777777" w:rsidR="0025099C" w:rsidRDefault="00494EEB">
            <w:pPr>
              <w:spacing w:afterLines="50" w:after="156" w:line="360" w:lineRule="auto"/>
              <w:rPr>
                <w:rFonts w:ascii="宋体" w:hAnsi="宋体" w:cs="宋体" w:hint="eastAsia"/>
                <w:bCs/>
                <w:sz w:val="24"/>
                <w:szCs w:val="24"/>
              </w:rPr>
            </w:pPr>
            <w:r>
              <w:rPr>
                <w:rFonts w:ascii="宋体" w:hAnsi="宋体" w:cs="宋体" w:hint="eastAsia"/>
                <w:bCs/>
                <w:sz w:val="24"/>
                <w:szCs w:val="24"/>
              </w:rPr>
              <w:t>异物已排出体外，未造成身体损伤，未对旅客造成严重精神创伤，不支持赔偿此项</w:t>
            </w:r>
          </w:p>
        </w:tc>
      </w:tr>
      <w:tr w:rsidR="0025099C" w14:paraId="35ACAFBA" w14:textId="77777777">
        <w:tc>
          <w:tcPr>
            <w:tcW w:w="1514" w:type="dxa"/>
          </w:tcPr>
          <w:p w14:paraId="55EA7FC8" w14:textId="77777777" w:rsidR="0025099C" w:rsidRDefault="00494EEB">
            <w:pPr>
              <w:spacing w:afterLines="50" w:after="156" w:line="360" w:lineRule="auto"/>
              <w:jc w:val="center"/>
              <w:rPr>
                <w:rFonts w:ascii="宋体" w:hAnsi="宋体" w:cs="宋体" w:hint="eastAsia"/>
                <w:bCs/>
                <w:sz w:val="24"/>
                <w:szCs w:val="24"/>
              </w:rPr>
            </w:pPr>
            <w:r>
              <w:rPr>
                <w:rFonts w:ascii="宋体" w:hAnsi="宋体" w:cs="宋体" w:hint="eastAsia"/>
                <w:b/>
                <w:sz w:val="24"/>
                <w:szCs w:val="24"/>
              </w:rPr>
              <w:t>惩罚性赔偿</w:t>
            </w:r>
          </w:p>
        </w:tc>
        <w:tc>
          <w:tcPr>
            <w:tcW w:w="3259" w:type="dxa"/>
          </w:tcPr>
          <w:p w14:paraId="20350190" w14:textId="77777777" w:rsidR="0025099C" w:rsidRDefault="00494EEB">
            <w:pPr>
              <w:spacing w:afterLines="50" w:after="156" w:line="360" w:lineRule="auto"/>
              <w:rPr>
                <w:rFonts w:ascii="宋体" w:hAnsi="宋体" w:cs="宋体" w:hint="eastAsia"/>
                <w:bCs/>
                <w:sz w:val="24"/>
                <w:szCs w:val="24"/>
              </w:rPr>
            </w:pPr>
            <w:r>
              <w:rPr>
                <w:rFonts w:ascii="宋体" w:hAnsi="宋体" w:cs="宋体"/>
                <w:bCs/>
                <w:sz w:val="24"/>
                <w:szCs w:val="24"/>
              </w:rPr>
              <w:t>依据《食品安全法》第</w:t>
            </w:r>
            <w:r>
              <w:rPr>
                <w:rFonts w:ascii="宋体" w:hAnsi="宋体" w:cs="宋体"/>
                <w:bCs/>
                <w:sz w:val="24"/>
                <w:szCs w:val="24"/>
              </w:rPr>
              <w:t>148</w:t>
            </w:r>
            <w:r>
              <w:rPr>
                <w:rFonts w:ascii="宋体" w:hAnsi="宋体" w:cs="宋体"/>
                <w:bCs/>
                <w:sz w:val="24"/>
                <w:szCs w:val="24"/>
              </w:rPr>
              <w:t>条：食品不符合安全标准时，可索赔损失</w:t>
            </w:r>
            <w:r>
              <w:rPr>
                <w:rFonts w:ascii="宋体" w:hAnsi="宋体" w:cs="宋体"/>
                <w:bCs/>
                <w:sz w:val="24"/>
                <w:szCs w:val="24"/>
              </w:rPr>
              <w:t>3</w:t>
            </w:r>
            <w:r>
              <w:rPr>
                <w:rFonts w:ascii="宋体" w:hAnsi="宋体" w:cs="宋体"/>
                <w:bCs/>
                <w:sz w:val="24"/>
                <w:szCs w:val="24"/>
              </w:rPr>
              <w:t>倍或价款</w:t>
            </w:r>
            <w:r>
              <w:rPr>
                <w:rFonts w:ascii="宋体" w:hAnsi="宋体" w:cs="宋体"/>
                <w:bCs/>
                <w:sz w:val="24"/>
                <w:szCs w:val="24"/>
              </w:rPr>
              <w:t>10</w:t>
            </w:r>
            <w:r>
              <w:rPr>
                <w:rFonts w:ascii="宋体" w:hAnsi="宋体" w:cs="宋体"/>
                <w:bCs/>
                <w:sz w:val="24"/>
                <w:szCs w:val="24"/>
              </w:rPr>
              <w:t>倍（不足</w:t>
            </w:r>
            <w:r>
              <w:rPr>
                <w:rFonts w:ascii="宋体" w:hAnsi="宋体" w:cs="宋体"/>
                <w:bCs/>
                <w:sz w:val="24"/>
                <w:szCs w:val="24"/>
              </w:rPr>
              <w:t>1000</w:t>
            </w:r>
            <w:r>
              <w:rPr>
                <w:rFonts w:ascii="宋体" w:hAnsi="宋体" w:cs="宋体"/>
                <w:bCs/>
                <w:sz w:val="24"/>
                <w:szCs w:val="24"/>
              </w:rPr>
              <w:t>元按</w:t>
            </w:r>
            <w:r>
              <w:rPr>
                <w:rFonts w:ascii="宋体" w:hAnsi="宋体" w:cs="宋体"/>
                <w:bCs/>
                <w:sz w:val="24"/>
                <w:szCs w:val="24"/>
              </w:rPr>
              <w:t>1000</w:t>
            </w:r>
            <w:r>
              <w:rPr>
                <w:rFonts w:ascii="宋体" w:hAnsi="宋体" w:cs="宋体"/>
                <w:bCs/>
                <w:sz w:val="24"/>
                <w:szCs w:val="24"/>
              </w:rPr>
              <w:t>元）</w:t>
            </w:r>
          </w:p>
        </w:tc>
        <w:tc>
          <w:tcPr>
            <w:tcW w:w="2433" w:type="dxa"/>
          </w:tcPr>
          <w:p w14:paraId="2C89A5FD" w14:textId="77777777" w:rsidR="0025099C" w:rsidRDefault="00494EEB">
            <w:pPr>
              <w:spacing w:afterLines="50" w:after="156" w:line="360" w:lineRule="auto"/>
              <w:rPr>
                <w:rFonts w:ascii="宋体" w:hAnsi="宋体" w:cs="宋体" w:hint="eastAsia"/>
                <w:bCs/>
                <w:sz w:val="24"/>
                <w:szCs w:val="24"/>
              </w:rPr>
            </w:pPr>
            <w:r>
              <w:rPr>
                <w:rFonts w:ascii="宋体" w:hAnsi="宋体" w:cs="宋体"/>
                <w:bCs/>
                <w:sz w:val="24"/>
                <w:szCs w:val="24"/>
              </w:rPr>
              <w:t>食品不符合安全标准的证据</w:t>
            </w:r>
          </w:p>
        </w:tc>
        <w:tc>
          <w:tcPr>
            <w:tcW w:w="2736" w:type="dxa"/>
          </w:tcPr>
          <w:p w14:paraId="37B1A8FC" w14:textId="77777777" w:rsidR="0025099C" w:rsidRDefault="00494EEB">
            <w:pPr>
              <w:spacing w:afterLines="50" w:after="156" w:line="360" w:lineRule="auto"/>
              <w:rPr>
                <w:rFonts w:ascii="宋体" w:hAnsi="宋体" w:cs="宋体" w:hint="eastAsia"/>
                <w:bCs/>
                <w:sz w:val="24"/>
                <w:szCs w:val="24"/>
              </w:rPr>
            </w:pPr>
            <w:r>
              <w:rPr>
                <w:rFonts w:ascii="宋体" w:hAnsi="宋体" w:cs="宋体" w:hint="eastAsia"/>
                <w:bCs/>
                <w:sz w:val="24"/>
                <w:szCs w:val="24"/>
              </w:rPr>
              <w:t>鉴于国航已确认旅客所食异物系其提供食品所致，旅客可按前述规定主张惩罚性赔偿</w:t>
            </w:r>
          </w:p>
        </w:tc>
      </w:tr>
    </w:tbl>
    <w:p w14:paraId="3CDE46CA" w14:textId="77777777" w:rsidR="0025099C" w:rsidRDefault="0025099C">
      <w:pPr>
        <w:spacing w:afterLines="50" w:after="156" w:line="360" w:lineRule="auto"/>
        <w:ind w:firstLineChars="200" w:firstLine="480"/>
        <w:rPr>
          <w:rFonts w:ascii="宋体" w:hAnsi="宋体" w:cs="宋体" w:hint="eastAsia"/>
          <w:bCs/>
          <w:sz w:val="24"/>
          <w:szCs w:val="24"/>
        </w:rPr>
      </w:pPr>
    </w:p>
    <w:p w14:paraId="364E9384" w14:textId="77777777" w:rsidR="0025099C" w:rsidRDefault="00494EEB">
      <w:pPr>
        <w:spacing w:afterLines="50" w:after="156" w:line="360" w:lineRule="auto"/>
        <w:ind w:firstLineChars="200" w:firstLine="482"/>
        <w:rPr>
          <w:rFonts w:ascii="宋体" w:hAnsi="宋体" w:cs="宋体" w:hint="eastAsia"/>
          <w:b/>
          <w:sz w:val="24"/>
          <w:szCs w:val="24"/>
        </w:rPr>
      </w:pPr>
      <w:r>
        <w:rPr>
          <w:rFonts w:ascii="宋体" w:hAnsi="宋体" w:cs="宋体" w:hint="eastAsia"/>
          <w:b/>
          <w:sz w:val="24"/>
          <w:szCs w:val="24"/>
        </w:rPr>
        <w:t>（三）本纠纷中，旅客提出</w:t>
      </w:r>
      <w:r>
        <w:rPr>
          <w:rFonts w:ascii="宋体" w:hAnsi="宋体" w:cs="宋体" w:hint="eastAsia"/>
          <w:b/>
          <w:sz w:val="24"/>
          <w:szCs w:val="24"/>
        </w:rPr>
        <w:t>4</w:t>
      </w:r>
      <w:r>
        <w:rPr>
          <w:rFonts w:ascii="宋体" w:hAnsi="宋体" w:cs="宋体" w:hint="eastAsia"/>
          <w:b/>
          <w:sz w:val="24"/>
          <w:szCs w:val="24"/>
        </w:rPr>
        <w:t>万美元赔偿方案不具有合理性及事实依据</w:t>
      </w:r>
    </w:p>
    <w:p w14:paraId="7F7E0A83" w14:textId="77777777" w:rsidR="0025099C" w:rsidRDefault="00494EEB">
      <w:pPr>
        <w:spacing w:afterLines="50" w:after="156" w:line="360" w:lineRule="auto"/>
        <w:ind w:firstLineChars="200" w:firstLine="480"/>
        <w:rPr>
          <w:rFonts w:ascii="宋体" w:hAnsi="宋体" w:cs="宋体" w:hint="eastAsia"/>
          <w:bCs/>
          <w:sz w:val="24"/>
          <w:szCs w:val="24"/>
        </w:rPr>
      </w:pPr>
      <w:r>
        <w:rPr>
          <w:rFonts w:ascii="宋体" w:hAnsi="宋体" w:cs="宋体" w:hint="eastAsia"/>
          <w:bCs/>
          <w:sz w:val="24"/>
          <w:szCs w:val="24"/>
        </w:rPr>
        <w:t>如前所述，依据目前旅客提供的材料，需赔偿的为医疗费及惩罚性赔偿，其他赔偿项目缺少相关材料予以支持。依据旅客提供票据，医疗费为</w:t>
      </w:r>
      <w:r>
        <w:rPr>
          <w:rFonts w:ascii="宋体" w:hAnsi="宋体" w:cs="宋体" w:hint="eastAsia"/>
          <w:bCs/>
          <w:sz w:val="24"/>
          <w:szCs w:val="24"/>
        </w:rPr>
        <w:t>125</w:t>
      </w:r>
      <w:r>
        <w:rPr>
          <w:rFonts w:ascii="宋体" w:hAnsi="宋体" w:cs="宋体" w:hint="eastAsia"/>
          <w:bCs/>
          <w:sz w:val="24"/>
          <w:szCs w:val="24"/>
        </w:rPr>
        <w:t>元。对于惩罚性赔偿，需以损失三倍或价款十倍计算，不足</w:t>
      </w:r>
      <w:r>
        <w:rPr>
          <w:rFonts w:ascii="宋体" w:hAnsi="宋体" w:cs="宋体" w:hint="eastAsia"/>
          <w:bCs/>
          <w:sz w:val="24"/>
          <w:szCs w:val="24"/>
        </w:rPr>
        <w:t>1000</w:t>
      </w:r>
      <w:r>
        <w:rPr>
          <w:rFonts w:ascii="宋体" w:hAnsi="宋体" w:cs="宋体" w:hint="eastAsia"/>
          <w:bCs/>
          <w:sz w:val="24"/>
          <w:szCs w:val="24"/>
        </w:rPr>
        <w:t>元的按</w:t>
      </w:r>
      <w:r>
        <w:rPr>
          <w:rFonts w:ascii="宋体" w:hAnsi="宋体" w:cs="宋体" w:hint="eastAsia"/>
          <w:bCs/>
          <w:sz w:val="24"/>
          <w:szCs w:val="24"/>
        </w:rPr>
        <w:t>1000</w:t>
      </w:r>
      <w:r>
        <w:rPr>
          <w:rFonts w:ascii="宋体" w:hAnsi="宋体" w:cs="宋体" w:hint="eastAsia"/>
          <w:bCs/>
          <w:sz w:val="24"/>
          <w:szCs w:val="24"/>
        </w:rPr>
        <w:t>元计算，若旅客无证据证明存在误工费、交通费等其他损失的，仅以医疗费作为损失计算，其三倍金额低于</w:t>
      </w:r>
      <w:r>
        <w:rPr>
          <w:rFonts w:ascii="宋体" w:hAnsi="宋体" w:cs="宋体" w:hint="eastAsia"/>
          <w:bCs/>
          <w:sz w:val="24"/>
          <w:szCs w:val="24"/>
        </w:rPr>
        <w:t>1000</w:t>
      </w:r>
      <w:r>
        <w:rPr>
          <w:rFonts w:ascii="宋体" w:hAnsi="宋体" w:cs="宋体" w:hint="eastAsia"/>
          <w:bCs/>
          <w:sz w:val="24"/>
          <w:szCs w:val="24"/>
        </w:rPr>
        <w:t>元，若旅客食用餐食的三倍价格亦低于</w:t>
      </w:r>
      <w:r>
        <w:rPr>
          <w:rFonts w:ascii="宋体" w:hAnsi="宋体" w:cs="宋体" w:hint="eastAsia"/>
          <w:bCs/>
          <w:sz w:val="24"/>
          <w:szCs w:val="24"/>
        </w:rPr>
        <w:t>1000</w:t>
      </w:r>
      <w:r>
        <w:rPr>
          <w:rFonts w:ascii="宋体" w:hAnsi="宋体" w:cs="宋体" w:hint="eastAsia"/>
          <w:bCs/>
          <w:sz w:val="24"/>
          <w:szCs w:val="24"/>
        </w:rPr>
        <w:t>元的，则惩罚性赔偿金可适用《食品安全法》第</w:t>
      </w:r>
      <w:r>
        <w:rPr>
          <w:rFonts w:ascii="宋体" w:hAnsi="宋体" w:cs="宋体" w:hint="eastAsia"/>
          <w:bCs/>
          <w:sz w:val="24"/>
          <w:szCs w:val="24"/>
        </w:rPr>
        <w:t>148</w:t>
      </w:r>
      <w:r>
        <w:rPr>
          <w:rFonts w:ascii="宋体" w:hAnsi="宋体" w:cs="宋体" w:hint="eastAsia"/>
          <w:bCs/>
          <w:sz w:val="24"/>
          <w:szCs w:val="24"/>
        </w:rPr>
        <w:t>条中规定的</w:t>
      </w:r>
      <w:r>
        <w:rPr>
          <w:rFonts w:ascii="宋体" w:hAnsi="宋体" w:cs="宋体" w:hint="eastAsia"/>
          <w:bCs/>
          <w:sz w:val="24"/>
          <w:szCs w:val="24"/>
        </w:rPr>
        <w:t>1000</w:t>
      </w:r>
      <w:r>
        <w:rPr>
          <w:rFonts w:ascii="宋体" w:hAnsi="宋体" w:cs="宋体" w:hint="eastAsia"/>
          <w:bCs/>
          <w:sz w:val="24"/>
          <w:szCs w:val="24"/>
        </w:rPr>
        <w:t>元最低标准。</w:t>
      </w:r>
    </w:p>
    <w:p w14:paraId="21664272" w14:textId="77777777" w:rsidR="0025099C" w:rsidRDefault="00494EEB">
      <w:pPr>
        <w:spacing w:afterLines="50" w:after="156" w:line="360" w:lineRule="auto"/>
        <w:ind w:firstLineChars="200" w:firstLine="480"/>
        <w:rPr>
          <w:rFonts w:ascii="宋体" w:hAnsi="宋体" w:cs="宋体" w:hint="eastAsia"/>
          <w:bCs/>
          <w:sz w:val="24"/>
          <w:szCs w:val="24"/>
        </w:rPr>
      </w:pPr>
      <w:r>
        <w:rPr>
          <w:rFonts w:ascii="宋体" w:hAnsi="宋体" w:cs="宋体" w:hint="eastAsia"/>
          <w:bCs/>
          <w:sz w:val="24"/>
          <w:szCs w:val="24"/>
        </w:rPr>
        <w:t>对于旅客提到的超出目前材料支持之外的其他赔偿金额，旅客需证明其遭受损害程度与索赔金额之间的因果关系。就本纠纷情况来看，旅客所遭受损害轻微，异物已排出，无手术，无后续治疗，无长期影响，未造成严重精神损害。因此，我们认为旅客提出的</w:t>
      </w:r>
      <w:r>
        <w:rPr>
          <w:rFonts w:ascii="宋体" w:hAnsi="宋体" w:cs="宋体" w:hint="eastAsia"/>
          <w:bCs/>
          <w:sz w:val="24"/>
          <w:szCs w:val="24"/>
        </w:rPr>
        <w:t>4</w:t>
      </w:r>
      <w:r>
        <w:rPr>
          <w:rFonts w:ascii="宋体" w:hAnsi="宋体" w:cs="宋体" w:hint="eastAsia"/>
          <w:bCs/>
          <w:sz w:val="24"/>
          <w:szCs w:val="24"/>
        </w:rPr>
        <w:t>万美元赔偿方案远超法定标准，不具有合理性及事实依据。</w:t>
      </w:r>
    </w:p>
    <w:p w14:paraId="6B0FD6D2" w14:textId="77777777" w:rsidR="0025099C" w:rsidRDefault="00494EEB">
      <w:pPr>
        <w:spacing w:afterLines="50" w:after="156" w:line="360" w:lineRule="auto"/>
        <w:ind w:firstLineChars="200" w:firstLine="480"/>
        <w:rPr>
          <w:rFonts w:ascii="宋体" w:hAnsi="宋体" w:cs="宋体" w:hint="eastAsia"/>
          <w:bCs/>
          <w:sz w:val="24"/>
          <w:szCs w:val="24"/>
        </w:rPr>
      </w:pPr>
      <w:r>
        <w:rPr>
          <w:rFonts w:ascii="宋体" w:hAnsi="宋体" w:cs="宋体" w:hint="eastAsia"/>
          <w:bCs/>
          <w:sz w:val="24"/>
          <w:szCs w:val="24"/>
        </w:rPr>
        <w:t>三、后续建议</w:t>
      </w:r>
    </w:p>
    <w:p w14:paraId="59B11419" w14:textId="77777777" w:rsidR="0025099C" w:rsidRDefault="00494EEB">
      <w:pPr>
        <w:spacing w:afterLines="50" w:after="156" w:line="360" w:lineRule="auto"/>
        <w:ind w:firstLineChars="200" w:firstLine="480"/>
        <w:rPr>
          <w:rFonts w:ascii="宋体" w:hAnsi="宋体" w:cs="宋体" w:hint="eastAsia"/>
          <w:bCs/>
          <w:sz w:val="24"/>
          <w:szCs w:val="24"/>
        </w:rPr>
      </w:pPr>
      <w:r>
        <w:rPr>
          <w:rFonts w:ascii="宋体" w:hAnsi="宋体" w:cs="宋体" w:hint="eastAsia"/>
          <w:bCs/>
          <w:sz w:val="24"/>
          <w:szCs w:val="24"/>
        </w:rPr>
        <w:t>建议贵司以法定赔偿标准为基础与旅客进行协商，对于旅客主张的损失项目应要求旅客提供完整的证明材料。</w:t>
      </w:r>
    </w:p>
    <w:p w14:paraId="795CECCD" w14:textId="77777777" w:rsidR="0025099C" w:rsidRDefault="00494EEB">
      <w:pPr>
        <w:tabs>
          <w:tab w:val="left" w:pos="500"/>
        </w:tabs>
        <w:spacing w:afterLines="50" w:after="156" w:line="360" w:lineRule="auto"/>
        <w:ind w:firstLineChars="200" w:firstLine="480"/>
        <w:rPr>
          <w:rFonts w:ascii="宋体" w:hAnsi="宋体" w:cs="宋体" w:hint="eastAsia"/>
          <w:b/>
          <w:bCs/>
          <w:sz w:val="24"/>
          <w:szCs w:val="24"/>
          <w:lang w:eastAsia="zh-Hans"/>
        </w:rPr>
      </w:pPr>
      <w:r>
        <w:rPr>
          <w:rFonts w:ascii="宋体" w:hAnsi="宋体" w:hint="eastAsia"/>
          <w:sz w:val="24"/>
        </w:rPr>
        <w:t>以上意见</w:t>
      </w:r>
      <w:proofErr w:type="gramStart"/>
      <w:r>
        <w:rPr>
          <w:rFonts w:ascii="宋体" w:hAnsi="宋体" w:hint="eastAsia"/>
          <w:sz w:val="24"/>
        </w:rPr>
        <w:t>仅供贵司</w:t>
      </w:r>
      <w:proofErr w:type="gramEnd"/>
      <w:r>
        <w:rPr>
          <w:rFonts w:ascii="宋体" w:hAnsi="宋体" w:hint="eastAsia"/>
          <w:sz w:val="24"/>
        </w:rPr>
        <w:t>参考。</w:t>
      </w:r>
    </w:p>
    <w:p w14:paraId="7CF57FFC" w14:textId="77777777" w:rsidR="0025099C" w:rsidRDefault="00494EEB">
      <w:pPr>
        <w:tabs>
          <w:tab w:val="left" w:pos="500"/>
        </w:tabs>
        <w:spacing w:afterLines="50" w:after="156" w:line="480" w:lineRule="exact"/>
        <w:ind w:firstLineChars="200" w:firstLine="420"/>
        <w:rPr>
          <w:rFonts w:ascii="宋体" w:hAnsi="宋体" w:hint="eastAsia"/>
          <w:sz w:val="24"/>
        </w:rPr>
      </w:pPr>
      <w:r>
        <w:rPr>
          <w:rFonts w:hint="eastAsia"/>
        </w:rPr>
        <w:lastRenderedPageBreak/>
        <w:t xml:space="preserve">                                                    </w:t>
      </w:r>
      <w:r>
        <w:rPr>
          <w:rFonts w:ascii="宋体" w:hAnsi="宋体" w:hint="eastAsia"/>
          <w:sz w:val="24"/>
        </w:rPr>
        <w:t xml:space="preserve"> </w:t>
      </w:r>
      <w:r>
        <w:rPr>
          <w:rFonts w:ascii="宋体" w:hAnsi="宋体" w:hint="eastAsia"/>
          <w:sz w:val="24"/>
        </w:rPr>
        <w:t>国浩律师（北京）事务所</w:t>
      </w:r>
    </w:p>
    <w:p w14:paraId="713BEF23" w14:textId="77777777" w:rsidR="0025099C" w:rsidRDefault="00494EEB">
      <w:pPr>
        <w:tabs>
          <w:tab w:val="left" w:pos="500"/>
        </w:tabs>
        <w:spacing w:afterLines="50" w:after="156" w:line="480" w:lineRule="exact"/>
        <w:ind w:firstLineChars="200" w:firstLine="480"/>
        <w:rPr>
          <w:rFonts w:ascii="宋体" w:hAnsi="宋体" w:hint="eastAsia"/>
          <w:sz w:val="24"/>
        </w:rPr>
      </w:pPr>
      <w:r>
        <w:rPr>
          <w:rFonts w:ascii="宋体" w:hAnsi="宋体" w:hint="eastAsia"/>
          <w:sz w:val="24"/>
        </w:rPr>
        <w:t xml:space="preserve">                                              </w:t>
      </w:r>
      <w:r>
        <w:rPr>
          <w:rFonts w:ascii="宋体" w:hAnsi="宋体" w:hint="eastAsia"/>
          <w:sz w:val="24"/>
        </w:rPr>
        <w:t>二〇二六年一月十九日</w:t>
      </w:r>
    </w:p>
    <w:sectPr w:rsidR="0025099C">
      <w:headerReference w:type="default" r:id="rId8"/>
      <w:footerReference w:type="default" r:id="rId9"/>
      <w:headerReference w:type="first" r:id="rId10"/>
      <w:footerReference w:type="first" r:id="rId11"/>
      <w:footnotePr>
        <w:numFmt w:val="decimalEnclosedCircleChinese"/>
      </w:footnotePr>
      <w:pgSz w:w="11906" w:h="16838"/>
      <w:pgMar w:top="1440" w:right="1588" w:bottom="1304" w:left="1588" w:header="851" w:footer="992" w:gutter="0"/>
      <w:cols w:space="425"/>
      <w:titlePg/>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CB5853B" w14:textId="77777777" w:rsidR="00494EEB" w:rsidRDefault="00494EEB">
      <w:r>
        <w:separator/>
      </w:r>
    </w:p>
  </w:endnote>
  <w:endnote w:type="continuationSeparator" w:id="0">
    <w:p w14:paraId="4425BB78" w14:textId="77777777" w:rsidR="00494EEB" w:rsidRDefault="00494EE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Unicode MS">
    <w:panose1 w:val="020B0604020202020204"/>
    <w:charset w:val="86"/>
    <w:family w:val="auto"/>
    <w:pitch w:val="default"/>
    <w:sig w:usb0="00000000" w:usb1="00000000" w:usb2="0000003F" w:usb3="00000000" w:csb0="603F01FF" w:csb1="FFFF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auto"/>
    <w:pitch w:val="default"/>
    <w:sig w:usb0="800002BF" w:usb1="38CF7CFA" w:usb2="00000016" w:usb3="00000000" w:csb0="00040001" w:csb1="00000000"/>
  </w:font>
  <w:font w:name="微软雅黑">
    <w:panose1 w:val="020B0503020204020204"/>
    <w:charset w:val="86"/>
    <w:family w:val="auto"/>
    <w:pitch w:val="default"/>
    <w:sig w:usb0="80000287" w:usb1="2ACF3C50" w:usb2="00000016" w:usb3="00000000" w:csb0="0004001F" w:csb1="00000000"/>
  </w:font>
  <w:font w:name="华文细黑">
    <w:panose1 w:val="02010600040101010101"/>
    <w:charset w:val="86"/>
    <w:family w:val="auto"/>
    <w:pitch w:val="variable"/>
    <w:sig w:usb0="00000287" w:usb1="080F0000" w:usb2="00000010" w:usb3="00000000" w:csb0="0004009F" w:csb1="00000000"/>
  </w:font>
  <w:font w:name="Arial Narrow">
    <w:panose1 w:val="020B0606020202030204"/>
    <w:charset w:val="00"/>
    <w:family w:val="swiss"/>
    <w:pitch w:val="variable"/>
    <w:sig w:usb0="00000287" w:usb1="00000800" w:usb2="00000000" w:usb3="00000000" w:csb0="0000009F" w:csb1="00000000"/>
  </w:font>
  <w:font w:name="PMingLiU">
    <w:altName w:val="新細明體"/>
    <w:panose1 w:val="02010601000101010101"/>
    <w:charset w:val="88"/>
    <w:family w:val="roman"/>
    <w:pitch w:val="variable"/>
    <w:sig w:usb0="A00002FF" w:usb1="28CFFCFA" w:usb2="00000016" w:usb3="00000000" w:csb0="00100001"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5FC4BA" w14:textId="77777777" w:rsidR="0025099C" w:rsidRDefault="0025099C">
    <w:pPr>
      <w:pStyle w:val="a4"/>
      <w:jc w:val="center"/>
      <w:rPr>
        <w:lang w:val="zh-CN"/>
      </w:rPr>
    </w:pPr>
  </w:p>
  <w:p w14:paraId="040AFE1F" w14:textId="77777777" w:rsidR="0025099C" w:rsidRDefault="00494EEB">
    <w:pPr>
      <w:pStyle w:val="a4"/>
      <w:jc w:val="center"/>
    </w:pPr>
    <w:r>
      <w:rPr>
        <w:lang w:val="zh-CN"/>
      </w:rPr>
      <w:t xml:space="preserve"> </w:t>
    </w:r>
    <w:r>
      <w:rPr>
        <w:b/>
        <w:sz w:val="24"/>
        <w:szCs w:val="24"/>
      </w:rPr>
      <w:fldChar w:fldCharType="begin"/>
    </w:r>
    <w:r>
      <w:rPr>
        <w:b/>
      </w:rPr>
      <w:instrText>PAGE</w:instrText>
    </w:r>
    <w:r>
      <w:rPr>
        <w:b/>
        <w:sz w:val="24"/>
        <w:szCs w:val="24"/>
      </w:rPr>
      <w:fldChar w:fldCharType="separate"/>
    </w:r>
    <w:r>
      <w:rPr>
        <w:b/>
      </w:rPr>
      <w:t>4</w:t>
    </w:r>
    <w:r>
      <w:rPr>
        <w:b/>
        <w:sz w:val="24"/>
        <w:szCs w:val="24"/>
      </w:rPr>
      <w:fldChar w:fldCharType="end"/>
    </w:r>
    <w:r>
      <w:rPr>
        <w:lang w:val="zh-CN"/>
      </w:rPr>
      <w:t xml:space="preserve"> </w:t>
    </w:r>
    <w:r>
      <w:rPr>
        <w:lang w:val="zh-CN"/>
      </w:rPr>
      <w:t xml:space="preserve">/ </w:t>
    </w:r>
    <w:r>
      <w:rPr>
        <w:b/>
        <w:sz w:val="24"/>
        <w:szCs w:val="24"/>
      </w:rPr>
      <w:fldChar w:fldCharType="begin"/>
    </w:r>
    <w:r>
      <w:rPr>
        <w:b/>
      </w:rPr>
      <w:instrText>NUMPAGES</w:instrText>
    </w:r>
    <w:r>
      <w:rPr>
        <w:b/>
        <w:sz w:val="24"/>
        <w:szCs w:val="24"/>
      </w:rPr>
      <w:fldChar w:fldCharType="separate"/>
    </w:r>
    <w:r>
      <w:rPr>
        <w:b/>
      </w:rPr>
      <w:t>4</w:t>
    </w:r>
    <w:r>
      <w:rPr>
        <w:b/>
        <w:sz w:val="24"/>
        <w:szCs w:val="24"/>
      </w:rPr>
      <w:fldChar w:fldCharType="end"/>
    </w:r>
  </w:p>
  <w:p w14:paraId="34C3A9FA" w14:textId="77777777" w:rsidR="0025099C" w:rsidRDefault="0025099C">
    <w:pPr>
      <w:pStyle w:val="a4"/>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2594C3" w14:textId="77777777" w:rsidR="0025099C" w:rsidRDefault="0025099C">
    <w:pPr>
      <w:pStyle w:val="a4"/>
      <w:jc w:val="center"/>
      <w:rPr>
        <w:lang w:val="zh-CN"/>
      </w:rPr>
    </w:pPr>
  </w:p>
  <w:p w14:paraId="34C8DFBF" w14:textId="77777777" w:rsidR="0025099C" w:rsidRDefault="00494EEB">
    <w:pPr>
      <w:pStyle w:val="a4"/>
      <w:jc w:val="center"/>
    </w:pPr>
    <w:r>
      <w:rPr>
        <w:lang w:val="zh-CN"/>
      </w:rPr>
      <w:t xml:space="preserve"> </w:t>
    </w:r>
    <w:r>
      <w:rPr>
        <w:b/>
        <w:sz w:val="24"/>
        <w:szCs w:val="24"/>
      </w:rPr>
      <w:fldChar w:fldCharType="begin"/>
    </w:r>
    <w:r>
      <w:rPr>
        <w:b/>
      </w:rPr>
      <w:instrText>PAGE</w:instrText>
    </w:r>
    <w:r>
      <w:rPr>
        <w:b/>
        <w:sz w:val="24"/>
        <w:szCs w:val="24"/>
      </w:rPr>
      <w:fldChar w:fldCharType="separate"/>
    </w:r>
    <w:r>
      <w:rPr>
        <w:b/>
      </w:rPr>
      <w:t>1</w:t>
    </w:r>
    <w:r>
      <w:rPr>
        <w:b/>
        <w:sz w:val="24"/>
        <w:szCs w:val="24"/>
      </w:rPr>
      <w:fldChar w:fldCharType="end"/>
    </w:r>
    <w:r>
      <w:rPr>
        <w:lang w:val="zh-CN"/>
      </w:rPr>
      <w:t xml:space="preserve"> </w:t>
    </w:r>
    <w:r>
      <w:rPr>
        <w:lang w:val="zh-CN"/>
      </w:rPr>
      <w:t xml:space="preserve">/ </w:t>
    </w:r>
    <w:r>
      <w:rPr>
        <w:b/>
        <w:sz w:val="24"/>
        <w:szCs w:val="24"/>
      </w:rPr>
      <w:fldChar w:fldCharType="begin"/>
    </w:r>
    <w:r>
      <w:rPr>
        <w:b/>
      </w:rPr>
      <w:instrText>NUMPAGES</w:instrText>
    </w:r>
    <w:r>
      <w:rPr>
        <w:b/>
        <w:sz w:val="24"/>
        <w:szCs w:val="24"/>
      </w:rPr>
      <w:fldChar w:fldCharType="separate"/>
    </w:r>
    <w:r>
      <w:rPr>
        <w:b/>
      </w:rPr>
      <w:t>4</w:t>
    </w:r>
    <w:r>
      <w:rPr>
        <w:b/>
        <w:sz w:val="24"/>
        <w:szCs w:val="24"/>
      </w:rPr>
      <w:fldChar w:fldCharType="end"/>
    </w:r>
  </w:p>
  <w:p w14:paraId="193C733D" w14:textId="77777777" w:rsidR="0025099C" w:rsidRDefault="0025099C">
    <w:pPr>
      <w:pStyle w:val="a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244D37" w14:textId="77777777" w:rsidR="00494EEB" w:rsidRDefault="00494EEB">
      <w:r>
        <w:separator/>
      </w:r>
    </w:p>
  </w:footnote>
  <w:footnote w:type="continuationSeparator" w:id="0">
    <w:p w14:paraId="0906808F" w14:textId="77777777" w:rsidR="00494EEB" w:rsidRDefault="00494EEB">
      <w:r>
        <w:continuationSeparator/>
      </w:r>
    </w:p>
  </w:footnote>
  <w:footnote w:id="1">
    <w:p w14:paraId="075F93F3" w14:textId="77777777" w:rsidR="0025099C" w:rsidRDefault="00494EEB">
      <w:pPr>
        <w:pStyle w:val="a6"/>
      </w:pPr>
      <w:r>
        <w:rPr>
          <w:rStyle w:val="a9"/>
        </w:rPr>
        <w:footnoteRef/>
      </w:r>
      <w:r>
        <w:t xml:space="preserve"> </w:t>
      </w:r>
      <w:r>
        <w:rPr>
          <w:rFonts w:hint="eastAsia"/>
        </w:rPr>
        <w:t>《</w:t>
      </w:r>
      <w:r>
        <w:rPr>
          <w:rFonts w:hint="eastAsia"/>
        </w:rPr>
        <w:t>中华人民共和国涉外民事关系法律适用法</w:t>
      </w:r>
      <w:r>
        <w:rPr>
          <w:rFonts w:hint="eastAsia"/>
        </w:rPr>
        <w:t>》</w:t>
      </w:r>
      <w:r>
        <w:rPr>
          <w:rFonts w:hint="eastAsia"/>
        </w:rPr>
        <w:t>第四十四条</w:t>
      </w:r>
      <w:r>
        <w:rPr>
          <w:rFonts w:hint="eastAsia"/>
        </w:rPr>
        <w:t xml:space="preserve"> </w:t>
      </w:r>
      <w:r>
        <w:rPr>
          <w:rFonts w:hint="eastAsia"/>
        </w:rPr>
        <w:t>侵权责任，适用侵权行为地法律，但当事人有共同经常居所地的，适用共同经常居所地法律。侵权行为发生后，当事人协议选择适用法律的，按照其协议。</w:t>
      </w:r>
    </w:p>
  </w:footnote>
  <w:footnote w:id="2">
    <w:p w14:paraId="78BB93E3" w14:textId="77777777" w:rsidR="0025099C" w:rsidRDefault="00494EEB">
      <w:pPr>
        <w:pStyle w:val="a6"/>
      </w:pPr>
      <w:r>
        <w:rPr>
          <w:rStyle w:val="a9"/>
        </w:rPr>
        <w:footnoteRef/>
      </w:r>
      <w:r>
        <w:t xml:space="preserve"> </w:t>
      </w:r>
      <w:r>
        <w:rPr>
          <w:rFonts w:hint="eastAsia"/>
        </w:rPr>
        <w:t>最高人民法院关于适用《中华人民共和国涉外民事关系法律适用法》若干问题的解释（</w:t>
      </w:r>
      <w:proofErr w:type="gramStart"/>
      <w:r>
        <w:rPr>
          <w:rFonts w:hint="eastAsia"/>
        </w:rPr>
        <w:t>一</w:t>
      </w:r>
      <w:proofErr w:type="gramEnd"/>
      <w:r>
        <w:rPr>
          <w:rFonts w:hint="eastAsia"/>
        </w:rPr>
        <w:t>）（</w:t>
      </w:r>
      <w:r>
        <w:rPr>
          <w:rFonts w:hint="eastAsia"/>
        </w:rPr>
        <w:t>2020</w:t>
      </w:r>
      <w:r>
        <w:rPr>
          <w:rFonts w:hint="eastAsia"/>
        </w:rPr>
        <w:t>修正）</w:t>
      </w:r>
    </w:p>
    <w:p w14:paraId="4F2557A9" w14:textId="77777777" w:rsidR="0025099C" w:rsidRDefault="00494EEB">
      <w:pPr>
        <w:pStyle w:val="a6"/>
      </w:pPr>
      <w:r>
        <w:rPr>
          <w:rFonts w:hint="eastAsia"/>
        </w:rPr>
        <w:t>法释〔</w:t>
      </w:r>
      <w:r>
        <w:rPr>
          <w:rFonts w:hint="eastAsia"/>
        </w:rPr>
        <w:t>2020</w:t>
      </w:r>
      <w:r>
        <w:rPr>
          <w:rFonts w:hint="eastAsia"/>
        </w:rPr>
        <w:t>〕</w:t>
      </w:r>
      <w:r>
        <w:rPr>
          <w:rFonts w:hint="eastAsia"/>
        </w:rPr>
        <w:t>18</w:t>
      </w:r>
      <w:r>
        <w:rPr>
          <w:rFonts w:hint="eastAsia"/>
        </w:rPr>
        <w:t>号第十七条</w:t>
      </w:r>
      <w:r>
        <w:rPr>
          <w:rFonts w:hint="eastAsia"/>
        </w:rPr>
        <w:t xml:space="preserve"> </w:t>
      </w:r>
      <w:r>
        <w:rPr>
          <w:rFonts w:hint="eastAsia"/>
        </w:rPr>
        <w:t>涉及香港特别行政区、澳门特别行政区的民事关系的法律适用问题，参照适用本规定。</w:t>
      </w:r>
    </w:p>
  </w:footnote>
  <w:footnote w:id="3">
    <w:p w14:paraId="66A0D352" w14:textId="77777777" w:rsidR="0025099C" w:rsidRDefault="00494EEB">
      <w:pPr>
        <w:pStyle w:val="a6"/>
      </w:pPr>
      <w:r>
        <w:rPr>
          <w:rStyle w:val="a9"/>
        </w:rPr>
        <w:footnoteRef/>
      </w:r>
      <w:r>
        <w:t xml:space="preserve"> </w:t>
      </w:r>
      <w:r>
        <w:rPr>
          <w:rFonts w:hint="eastAsia"/>
        </w:rPr>
        <w:t>《</w:t>
      </w:r>
      <w:r>
        <w:rPr>
          <w:rFonts w:hint="eastAsia"/>
        </w:rPr>
        <w:t>中华人民共和国民法典</w:t>
      </w:r>
      <w:r>
        <w:rPr>
          <w:rFonts w:hint="eastAsia"/>
        </w:rPr>
        <w:t>》</w:t>
      </w:r>
      <w:r>
        <w:rPr>
          <w:rFonts w:hint="eastAsia"/>
        </w:rPr>
        <w:t>第一千一百七十九条</w:t>
      </w:r>
      <w:r>
        <w:rPr>
          <w:rFonts w:hint="eastAsia"/>
        </w:rPr>
        <w:t xml:space="preserve"> </w:t>
      </w:r>
      <w:r>
        <w:rPr>
          <w:rFonts w:hint="eastAsia"/>
        </w:rPr>
        <w:t>侵害他人造成人身损害的，应当赔偿医疗费、护理费、交通费、营养费、住院伙食补助费等为治疗和康复支出的合理费用，以及因误工减少的收入。造成残疾的，还应当赔偿辅助器具费和残疾赔偿金；造成死亡的，还应当赔偿丧葬费和死亡赔偿金。</w:t>
      </w:r>
    </w:p>
  </w:footnote>
  <w:footnote w:id="4">
    <w:p w14:paraId="42D7E454" w14:textId="77777777" w:rsidR="0025099C" w:rsidRDefault="00494EEB">
      <w:pPr>
        <w:pStyle w:val="a6"/>
      </w:pPr>
      <w:r>
        <w:rPr>
          <w:rStyle w:val="a9"/>
        </w:rPr>
        <w:footnoteRef/>
      </w:r>
      <w:r>
        <w:t xml:space="preserve"> </w:t>
      </w:r>
      <w:r>
        <w:rPr>
          <w:rFonts w:hint="eastAsia"/>
        </w:rPr>
        <w:t>《</w:t>
      </w:r>
      <w:r>
        <w:rPr>
          <w:rFonts w:hint="eastAsia"/>
        </w:rPr>
        <w:t>中华人民共和国食品安全法（</w:t>
      </w:r>
      <w:r>
        <w:rPr>
          <w:rFonts w:hint="eastAsia"/>
        </w:rPr>
        <w:t>2025</w:t>
      </w:r>
      <w:r>
        <w:rPr>
          <w:rFonts w:hint="eastAsia"/>
        </w:rPr>
        <w:t>修正）</w:t>
      </w:r>
      <w:r>
        <w:rPr>
          <w:rFonts w:hint="eastAsia"/>
        </w:rPr>
        <w:t>》</w:t>
      </w:r>
      <w:r>
        <w:rPr>
          <w:rFonts w:hint="eastAsia"/>
        </w:rPr>
        <w:t>第一百四十八条</w:t>
      </w:r>
      <w:r>
        <w:rPr>
          <w:rFonts w:hint="eastAsia"/>
        </w:rPr>
        <w:t xml:space="preserve"> </w:t>
      </w:r>
      <w:r>
        <w:rPr>
          <w:rFonts w:hint="eastAsia"/>
        </w:rPr>
        <w:t>消费者因不符合食品安全标准的食品受到损害的，可以向经营者要求赔偿损失，也可以向生产者要求赔偿损失。接到消费者赔偿要求的生产经营者，应当实行首负责任制，先行赔付，不得推诿；属于生产者责任的，经营者赔偿后有权向生产者追偿；属于经营者责任的，生产者赔偿后有权向经营者追偿。生产不符合食品安全标准的食品或者经营明知是不符合食品安全标准的食品，消费者除要求赔偿损失外，还可以向生产者或者经营者要求支付价款十倍或者损失三倍的赔偿金；增加赔偿的金额不足一千元的，为一千元。但是，食品的标签、说明书存在不影响食品安全且不会对消费者造成误导的瑕疵的除外。</w:t>
      </w:r>
    </w:p>
  </w:footnote>
  <w:footnote w:id="5">
    <w:p w14:paraId="6F5F47CC" w14:textId="77777777" w:rsidR="0025099C" w:rsidRDefault="00494EEB">
      <w:pPr>
        <w:pStyle w:val="a6"/>
      </w:pPr>
      <w:r>
        <w:rPr>
          <w:rStyle w:val="a9"/>
        </w:rPr>
        <w:footnoteRef/>
      </w:r>
      <w:r>
        <w:t xml:space="preserve"> </w:t>
      </w:r>
      <w:r>
        <w:rPr>
          <w:rFonts w:hint="eastAsia"/>
        </w:rPr>
        <w:t>《</w:t>
      </w:r>
      <w:r>
        <w:rPr>
          <w:rFonts w:hint="eastAsia"/>
        </w:rPr>
        <w:t>最高人民法院关于审理食品安全民事纠纷案件适用法律若干问题的解释（</w:t>
      </w:r>
      <w:r>
        <w:rPr>
          <w:rFonts w:hint="eastAsia"/>
        </w:rPr>
        <w:t>一）</w:t>
      </w:r>
      <w:r>
        <w:rPr>
          <w:rFonts w:hint="eastAsia"/>
        </w:rPr>
        <w:t>》</w:t>
      </w:r>
      <w:r>
        <w:rPr>
          <w:rFonts w:hint="eastAsia"/>
        </w:rPr>
        <w:t>第四条</w:t>
      </w:r>
      <w:r>
        <w:rPr>
          <w:rFonts w:hint="eastAsia"/>
        </w:rPr>
        <w:t xml:space="preserve"> </w:t>
      </w:r>
      <w:r>
        <w:rPr>
          <w:rFonts w:hint="eastAsia"/>
        </w:rPr>
        <w:t>公共交通运输的承运人向旅客提供的食品不符合食品安全标准，旅客主张承运人依据食品安全法第一百四十八条规定承担作为食品生产者或者经营者的赔偿责任的，人民法院应</w:t>
      </w:r>
      <w:proofErr w:type="gramStart"/>
      <w:r>
        <w:rPr>
          <w:rFonts w:hint="eastAsia"/>
        </w:rPr>
        <w:t>予支</w:t>
      </w:r>
      <w:proofErr w:type="gramEnd"/>
      <w:r>
        <w:rPr>
          <w:rFonts w:hint="eastAsia"/>
        </w:rPr>
        <w:t>持；承运人以其不是食品的生产经营者或者食品是免费提供为由进行免责抗辩的，人民法院不予支持。</w:t>
      </w:r>
    </w:p>
  </w:footnote>
  <w:footnote w:id="6">
    <w:p w14:paraId="355262C8" w14:textId="77777777" w:rsidR="0025099C" w:rsidRDefault="00494EEB">
      <w:pPr>
        <w:pStyle w:val="a6"/>
      </w:pPr>
      <w:r>
        <w:rPr>
          <w:rStyle w:val="a9"/>
        </w:rPr>
        <w:footnoteRef/>
      </w:r>
      <w:r>
        <w:t xml:space="preserve"> </w:t>
      </w:r>
      <w:r>
        <w:rPr>
          <w:rFonts w:hint="eastAsia"/>
        </w:rPr>
        <w:t>《</w:t>
      </w:r>
      <w:r>
        <w:rPr>
          <w:rFonts w:hint="eastAsia"/>
        </w:rPr>
        <w:t>最高人民法院关于审理食品安全民事纠纷案件适用法律若干问题的解释（</w:t>
      </w:r>
      <w:r>
        <w:rPr>
          <w:rFonts w:hint="eastAsia"/>
        </w:rPr>
        <w:t>一）</w:t>
      </w:r>
      <w:r>
        <w:rPr>
          <w:rFonts w:hint="eastAsia"/>
        </w:rPr>
        <w:t>》</w:t>
      </w:r>
      <w:r>
        <w:rPr>
          <w:rFonts w:hint="eastAsia"/>
        </w:rPr>
        <w:t>第六条</w:t>
      </w:r>
      <w:r>
        <w:rPr>
          <w:rFonts w:hint="eastAsia"/>
        </w:rPr>
        <w:t xml:space="preserve"> </w:t>
      </w:r>
      <w:r>
        <w:rPr>
          <w:rFonts w:hint="eastAsia"/>
        </w:rPr>
        <w:t>食品经营者具有下列情形之一，消费者主张构成食品安全法第一百四十八条规定的“明知”的，人民法院应</w:t>
      </w:r>
      <w:proofErr w:type="gramStart"/>
      <w:r>
        <w:rPr>
          <w:rFonts w:hint="eastAsia"/>
        </w:rPr>
        <w:t>予支</w:t>
      </w:r>
      <w:proofErr w:type="gramEnd"/>
      <w:r>
        <w:rPr>
          <w:rFonts w:hint="eastAsia"/>
        </w:rPr>
        <w:t>持：（一）已过食品标明的保质期但仍然销售的；（二）未能提供所售食品的合法进货来源的；（三）以明显不合理的低价进货且无合理原因的；（四）未依法履行进货查验义务的；（五）虚假标注、更改食品生产日期、批号的；（六）转移、隐匿、非法销毁食品进销货记录或者故意提供虚假信息的；（七）其他能够认定为明知的情形。</w:t>
      </w:r>
    </w:p>
  </w:footnote>
  <w:footnote w:id="7">
    <w:p w14:paraId="34A46E4B" w14:textId="77777777" w:rsidR="0025099C" w:rsidRDefault="00494EEB">
      <w:pPr>
        <w:pStyle w:val="a6"/>
      </w:pPr>
      <w:r>
        <w:rPr>
          <w:rStyle w:val="a9"/>
        </w:rPr>
        <w:footnoteRef/>
      </w:r>
      <w:r>
        <w:t xml:space="preserve"> </w:t>
      </w:r>
      <w:r>
        <w:rPr>
          <w:rFonts w:hint="eastAsia"/>
        </w:rPr>
        <w:t>《</w:t>
      </w:r>
      <w:r>
        <w:rPr>
          <w:rFonts w:hint="eastAsia"/>
        </w:rPr>
        <w:t>最高人民法院关于审理食品安全民事纠纷案件适用法律若干问题的解释（</w:t>
      </w:r>
      <w:r>
        <w:rPr>
          <w:rFonts w:hint="eastAsia"/>
        </w:rPr>
        <w:t>一）</w:t>
      </w:r>
      <w:r>
        <w:rPr>
          <w:rFonts w:hint="eastAsia"/>
        </w:rPr>
        <w:t>》</w:t>
      </w:r>
      <w:r>
        <w:rPr>
          <w:rFonts w:hint="eastAsia"/>
        </w:rPr>
        <w:t>第十条</w:t>
      </w:r>
      <w:r>
        <w:rPr>
          <w:rFonts w:hint="eastAsia"/>
        </w:rPr>
        <w:t xml:space="preserve"> </w:t>
      </w:r>
      <w:r>
        <w:rPr>
          <w:rFonts w:hint="eastAsia"/>
        </w:rPr>
        <w:t>食品不符合食品安全标准，消费者主张生产者或者经营者依据食品安全法第一百四十八条第二款规定承担惩罚性赔偿责任，生产者或者经营者以未造成消费者人身损害为由抗辩的，人民法院不予支持。</w:t>
      </w:r>
    </w:p>
  </w:footnote>
  <w:footnote w:id="8">
    <w:p w14:paraId="232812B5" w14:textId="77777777" w:rsidR="0025099C" w:rsidRDefault="00494EEB">
      <w:pPr>
        <w:pStyle w:val="a6"/>
      </w:pPr>
      <w:r>
        <w:rPr>
          <w:rStyle w:val="a9"/>
        </w:rPr>
        <w:footnoteRef/>
      </w:r>
      <w:r>
        <w:t xml:space="preserve"> </w:t>
      </w:r>
      <w:r>
        <w:rPr>
          <w:rFonts w:hint="eastAsia"/>
        </w:rPr>
        <w:t>《</w:t>
      </w:r>
      <w:r>
        <w:rPr>
          <w:rFonts w:hint="eastAsia"/>
        </w:rPr>
        <w:t>最高人民法院关于审理人身损害赔偿案件适用法律若干问题的解释（</w:t>
      </w:r>
      <w:r>
        <w:rPr>
          <w:rFonts w:hint="eastAsia"/>
        </w:rPr>
        <w:t>2022</w:t>
      </w:r>
      <w:r>
        <w:rPr>
          <w:rFonts w:hint="eastAsia"/>
        </w:rPr>
        <w:t>修正）</w:t>
      </w:r>
      <w:r>
        <w:rPr>
          <w:rFonts w:hint="eastAsia"/>
        </w:rPr>
        <w:t>》</w:t>
      </w:r>
      <w:r>
        <w:rPr>
          <w:rFonts w:hint="eastAsia"/>
        </w:rPr>
        <w:t>第六条</w:t>
      </w:r>
      <w:r>
        <w:rPr>
          <w:rFonts w:hint="eastAsia"/>
        </w:rPr>
        <w:t xml:space="preserve"> </w:t>
      </w:r>
      <w:r>
        <w:rPr>
          <w:rFonts w:hint="eastAsia"/>
        </w:rPr>
        <w:t>医疗费根据医疗机构出具的医药费、住院费等收款凭证，结合病历和诊断证明等相关证据确定。赔偿义务人对治疗的必要性和合理性有异议的，应当承担相应的举证责任。医疗费的赔偿数额，按照一审法庭辩论终结</w:t>
      </w:r>
      <w:proofErr w:type="gramStart"/>
      <w:r>
        <w:rPr>
          <w:rFonts w:hint="eastAsia"/>
        </w:rPr>
        <w:t>前实际</w:t>
      </w:r>
      <w:proofErr w:type="gramEnd"/>
      <w:r>
        <w:rPr>
          <w:rFonts w:hint="eastAsia"/>
        </w:rPr>
        <w:t>发生的数额确定。器官功能恢复训练所必要的康复费、适当的整容费以及其他后续治疗费，赔偿权利人可以</w:t>
      </w:r>
      <w:proofErr w:type="gramStart"/>
      <w:r>
        <w:rPr>
          <w:rFonts w:hint="eastAsia"/>
        </w:rPr>
        <w:t>待实际</w:t>
      </w:r>
      <w:proofErr w:type="gramEnd"/>
      <w:r>
        <w:rPr>
          <w:rFonts w:hint="eastAsia"/>
        </w:rPr>
        <w:t>发生后另行起诉。但根据医疗证明或者鉴定结论确定必然发生的费用，可以与已经发生的医疗费一并予以赔偿。</w:t>
      </w:r>
    </w:p>
  </w:footnote>
  <w:footnote w:id="9">
    <w:p w14:paraId="53626CF7" w14:textId="77777777" w:rsidR="0025099C" w:rsidRDefault="00494EEB">
      <w:pPr>
        <w:pStyle w:val="a6"/>
      </w:pPr>
      <w:r>
        <w:rPr>
          <w:rStyle w:val="a9"/>
        </w:rPr>
        <w:footnoteRef/>
      </w:r>
      <w:r>
        <w:t xml:space="preserve"> </w:t>
      </w:r>
      <w:r>
        <w:rPr>
          <w:rFonts w:hint="eastAsia"/>
        </w:rPr>
        <w:t>《</w:t>
      </w:r>
      <w:r>
        <w:rPr>
          <w:rFonts w:hint="eastAsia"/>
        </w:rPr>
        <w:t>最高人民法院关于审理人身损害赔偿案件适用法律若干问题的解释（</w:t>
      </w:r>
      <w:r>
        <w:rPr>
          <w:rFonts w:hint="eastAsia"/>
        </w:rPr>
        <w:t>2022</w:t>
      </w:r>
      <w:r>
        <w:rPr>
          <w:rFonts w:hint="eastAsia"/>
        </w:rPr>
        <w:t>修正）</w:t>
      </w:r>
      <w:r>
        <w:rPr>
          <w:rFonts w:hint="eastAsia"/>
        </w:rPr>
        <w:t>》</w:t>
      </w:r>
      <w:r>
        <w:rPr>
          <w:rFonts w:hint="eastAsia"/>
        </w:rPr>
        <w:t>第七条</w:t>
      </w:r>
      <w:r>
        <w:rPr>
          <w:rFonts w:hint="eastAsia"/>
        </w:rPr>
        <w:t xml:space="preserve"> </w:t>
      </w:r>
      <w:r>
        <w:rPr>
          <w:rFonts w:hint="eastAsia"/>
        </w:rPr>
        <w:t>误工费根据受害人的误工时间和收入状况确定。误工时间根据受害人接受治疗的医疗机构出具的证明确定。受害人因伤致残持续误工的，误工时间可以计算</w:t>
      </w:r>
      <w:proofErr w:type="gramStart"/>
      <w:r>
        <w:rPr>
          <w:rFonts w:hint="eastAsia"/>
        </w:rPr>
        <w:t>至定残日前</w:t>
      </w:r>
      <w:proofErr w:type="gramEnd"/>
      <w:r>
        <w:rPr>
          <w:rFonts w:hint="eastAsia"/>
        </w:rPr>
        <w:t>一天。受害人有固定收入的，误工</w:t>
      </w:r>
      <w:proofErr w:type="gramStart"/>
      <w:r>
        <w:rPr>
          <w:rFonts w:hint="eastAsia"/>
        </w:rPr>
        <w:t>费按照</w:t>
      </w:r>
      <w:proofErr w:type="gramEnd"/>
      <w:r>
        <w:rPr>
          <w:rFonts w:hint="eastAsia"/>
        </w:rPr>
        <w:t>实际减少的收入计算。受害人无固定收入的，按照其最近三年的平均收入计算；受害人不能举证证明其最近三年的平均收入状况的，可以参照受诉法院所在地相同或者相近行业上一年度职工的平均工资计算。</w:t>
      </w:r>
    </w:p>
  </w:footnote>
  <w:footnote w:id="10">
    <w:p w14:paraId="01FB16F3" w14:textId="77777777" w:rsidR="0025099C" w:rsidRDefault="00494EEB">
      <w:pPr>
        <w:pStyle w:val="a6"/>
      </w:pPr>
      <w:r>
        <w:rPr>
          <w:rStyle w:val="a9"/>
        </w:rPr>
        <w:footnoteRef/>
      </w:r>
      <w:r>
        <w:t xml:space="preserve"> </w:t>
      </w:r>
      <w:r>
        <w:rPr>
          <w:rFonts w:hint="eastAsia"/>
        </w:rPr>
        <w:t>《</w:t>
      </w:r>
      <w:r>
        <w:rPr>
          <w:rFonts w:hint="eastAsia"/>
        </w:rPr>
        <w:t>最高人民法院关于审理人身损害赔偿案件适用法律若干问题的解释（</w:t>
      </w:r>
      <w:r>
        <w:rPr>
          <w:rFonts w:hint="eastAsia"/>
        </w:rPr>
        <w:t>2022</w:t>
      </w:r>
      <w:r>
        <w:rPr>
          <w:rFonts w:hint="eastAsia"/>
        </w:rPr>
        <w:t>修正）</w:t>
      </w:r>
      <w:r>
        <w:rPr>
          <w:rFonts w:hint="eastAsia"/>
        </w:rPr>
        <w:t>》</w:t>
      </w:r>
      <w:r>
        <w:rPr>
          <w:rFonts w:hint="eastAsia"/>
        </w:rPr>
        <w:t>第八条</w:t>
      </w:r>
      <w:r>
        <w:rPr>
          <w:rFonts w:hint="eastAsia"/>
        </w:rPr>
        <w:t xml:space="preserve"> </w:t>
      </w:r>
      <w:r>
        <w:rPr>
          <w:rFonts w:hint="eastAsia"/>
        </w:rPr>
        <w:t>护理费根据护理人员的收入状况和护理人数、护理期限确定。护理人员有收入的，参照误工费的规定计算；护理人员没有收入或者雇佣护工的，参照当地护工从事同等级别护理的劳务报酬标准计算。护理人员原则上为一人，但医疗机构或者鉴定机构有明确意见的，可以参照确定护理人员人数。护理期限应计算至受害人恢复生活自理能力时止。受害人因残疾不能恢复生活自理能力的，可以根据其年龄、健康状况等因素确定合理的护理期限，但最长不超过二十年。受害人定残后的护理，应当根据其护理依赖程度并结合配制残疾辅助器具的情况确定护理级别。</w:t>
      </w:r>
    </w:p>
  </w:footnote>
  <w:footnote w:id="11">
    <w:p w14:paraId="18AC2C3D" w14:textId="77777777" w:rsidR="0025099C" w:rsidRDefault="00494EEB">
      <w:pPr>
        <w:pStyle w:val="a6"/>
      </w:pPr>
      <w:r>
        <w:rPr>
          <w:rStyle w:val="a9"/>
        </w:rPr>
        <w:footnoteRef/>
      </w:r>
      <w:r>
        <w:t xml:space="preserve"> </w:t>
      </w:r>
      <w:r>
        <w:rPr>
          <w:rFonts w:hint="eastAsia"/>
        </w:rPr>
        <w:t>《</w:t>
      </w:r>
      <w:r>
        <w:rPr>
          <w:rFonts w:hint="eastAsia"/>
        </w:rPr>
        <w:t>最高人民法院关于审理人身损害赔偿案件适用法律若干问题的解释（</w:t>
      </w:r>
      <w:r>
        <w:rPr>
          <w:rFonts w:hint="eastAsia"/>
        </w:rPr>
        <w:t>2022</w:t>
      </w:r>
      <w:r>
        <w:rPr>
          <w:rFonts w:hint="eastAsia"/>
        </w:rPr>
        <w:t>修正）</w:t>
      </w:r>
      <w:r>
        <w:rPr>
          <w:rFonts w:hint="eastAsia"/>
        </w:rPr>
        <w:t>》</w:t>
      </w:r>
      <w:r>
        <w:rPr>
          <w:rFonts w:hint="eastAsia"/>
        </w:rPr>
        <w:t>第九条</w:t>
      </w:r>
      <w:r>
        <w:rPr>
          <w:rFonts w:hint="eastAsia"/>
        </w:rPr>
        <w:t xml:space="preserve"> </w:t>
      </w:r>
      <w:r>
        <w:rPr>
          <w:rFonts w:hint="eastAsia"/>
        </w:rPr>
        <w:t>交通费根据受害人及其必要的陪护人员因就医或者转院治疗实际发生的费用计算。交通费应当以正式票据为凭；有关凭据应当与就医地点、时间、人数、次数相符合。</w:t>
      </w:r>
    </w:p>
  </w:footnote>
  <w:footnote w:id="12">
    <w:p w14:paraId="2029F057" w14:textId="77777777" w:rsidR="0025099C" w:rsidRDefault="00494EEB">
      <w:pPr>
        <w:pStyle w:val="a6"/>
      </w:pPr>
      <w:r>
        <w:rPr>
          <w:rStyle w:val="a9"/>
        </w:rPr>
        <w:footnoteRef/>
      </w:r>
      <w:r>
        <w:t xml:space="preserve"> </w:t>
      </w:r>
      <w:r>
        <w:rPr>
          <w:rFonts w:hint="eastAsia"/>
        </w:rPr>
        <w:t>《</w:t>
      </w:r>
      <w:r>
        <w:rPr>
          <w:rFonts w:hint="eastAsia"/>
        </w:rPr>
        <w:t>最高人民法院关于审理人身损害赔偿案件适用法律若干问题的解释（</w:t>
      </w:r>
      <w:r>
        <w:rPr>
          <w:rFonts w:hint="eastAsia"/>
        </w:rPr>
        <w:t>2022</w:t>
      </w:r>
      <w:r>
        <w:rPr>
          <w:rFonts w:hint="eastAsia"/>
        </w:rPr>
        <w:t>修正）</w:t>
      </w:r>
      <w:r>
        <w:rPr>
          <w:rFonts w:hint="eastAsia"/>
        </w:rPr>
        <w:t>》</w:t>
      </w:r>
      <w:r>
        <w:rPr>
          <w:rFonts w:hint="eastAsia"/>
        </w:rPr>
        <w:t>第十条</w:t>
      </w:r>
      <w:r>
        <w:rPr>
          <w:rFonts w:hint="eastAsia"/>
        </w:rPr>
        <w:t xml:space="preserve"> </w:t>
      </w:r>
      <w:r>
        <w:rPr>
          <w:rFonts w:hint="eastAsia"/>
        </w:rPr>
        <w:t>住院伙食补助费可以参照当地国家机关一般工作人员的出差伙食补助标准予以确定。受害人确有必要到外地治疗，因客观原因不能住院，受害人本人及其陪护人员实际发生的住宿费和伙食费，其合理部分应予赔偿。</w:t>
      </w:r>
    </w:p>
  </w:footnote>
  <w:footnote w:id="13">
    <w:p w14:paraId="03F5EB5D" w14:textId="77777777" w:rsidR="0025099C" w:rsidRDefault="00494EEB">
      <w:pPr>
        <w:pStyle w:val="a6"/>
      </w:pPr>
      <w:r>
        <w:rPr>
          <w:rStyle w:val="a9"/>
        </w:rPr>
        <w:footnoteRef/>
      </w:r>
      <w:r>
        <w:t xml:space="preserve"> </w:t>
      </w:r>
      <w:r>
        <w:rPr>
          <w:rFonts w:hint="eastAsia"/>
        </w:rPr>
        <w:t>《</w:t>
      </w:r>
      <w:r>
        <w:rPr>
          <w:rFonts w:hint="eastAsia"/>
        </w:rPr>
        <w:t>最高人民法院关于审理人身损害赔偿案件适用法律若干问题的解释（</w:t>
      </w:r>
      <w:r>
        <w:rPr>
          <w:rFonts w:hint="eastAsia"/>
        </w:rPr>
        <w:t>2022</w:t>
      </w:r>
      <w:r>
        <w:rPr>
          <w:rFonts w:hint="eastAsia"/>
        </w:rPr>
        <w:t>修正）</w:t>
      </w:r>
      <w:r>
        <w:rPr>
          <w:rFonts w:hint="eastAsia"/>
        </w:rPr>
        <w:t>》</w:t>
      </w:r>
      <w:r>
        <w:rPr>
          <w:rFonts w:hint="eastAsia"/>
        </w:rPr>
        <w:t>第十一条</w:t>
      </w:r>
      <w:r>
        <w:rPr>
          <w:rFonts w:hint="eastAsia"/>
        </w:rPr>
        <w:t xml:space="preserve"> </w:t>
      </w:r>
      <w:r>
        <w:rPr>
          <w:rFonts w:hint="eastAsia"/>
        </w:rPr>
        <w:t>营养费根据受害人伤残情况参照医疗机构的意见确定。</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434DAF" w14:textId="77777777" w:rsidR="0025099C" w:rsidRDefault="00494EEB">
    <w:pPr>
      <w:pStyle w:val="a5"/>
      <w:pBdr>
        <w:bottom w:val="single" w:sz="6" w:space="5" w:color="auto"/>
      </w:pBdr>
      <w:spacing w:afterLines="100" w:after="240"/>
      <w:jc w:val="right"/>
    </w:pPr>
    <w:r>
      <w:rPr>
        <w:noProof/>
      </w:rPr>
      <w:drawing>
        <wp:inline distT="0" distB="0" distL="0" distR="0" wp14:anchorId="25716067" wp14:editId="098C1BC6">
          <wp:extent cx="1924050" cy="302260"/>
          <wp:effectExtent l="0" t="0" r="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a:xfrm>
                    <a:off x="0" y="0"/>
                    <a:ext cx="1924050" cy="302260"/>
                  </a:xfrm>
                  <a:prstGeom prst="rect">
                    <a:avLst/>
                  </a:prstGeom>
                  <a:noFill/>
                  <a:ln>
                    <a:noFill/>
                  </a:ln>
                </pic:spPr>
              </pic:pic>
            </a:graphicData>
          </a:graphic>
        </wp:inline>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E2C3DE" w14:textId="77777777" w:rsidR="0025099C" w:rsidRDefault="00494EEB">
    <w:pPr>
      <w:pStyle w:val="a5"/>
      <w:pBdr>
        <w:bottom w:val="none" w:sz="0" w:space="0" w:color="auto"/>
      </w:pBdr>
    </w:pPr>
    <w:r>
      <w:rPr>
        <w:noProof/>
      </w:rPr>
      <w:drawing>
        <wp:inline distT="0" distB="0" distL="0" distR="0" wp14:anchorId="5F1231ED" wp14:editId="58123760">
          <wp:extent cx="3458845" cy="532765"/>
          <wp:effectExtent l="0" t="0" r="8255" b="63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a:xfrm>
                    <a:off x="0" y="0"/>
                    <a:ext cx="3458845" cy="532765"/>
                  </a:xfrm>
                  <a:prstGeom prst="rect">
                    <a:avLst/>
                  </a:prstGeom>
                  <a:noFill/>
                  <a:ln>
                    <a:noFill/>
                  </a:ln>
                </pic:spPr>
              </pic:pic>
            </a:graphicData>
          </a:graphic>
        </wp:inline>
      </w:drawing>
    </w:r>
  </w:p>
  <w:p w14:paraId="5280FBB5" w14:textId="77777777" w:rsidR="0025099C" w:rsidRDefault="00494EEB">
    <w:pPr>
      <w:pStyle w:val="a5"/>
      <w:pBdr>
        <w:bottom w:val="none" w:sz="0" w:space="0" w:color="auto"/>
      </w:pBdr>
      <w:spacing w:beforeLines="30" w:before="72"/>
      <w:ind w:leftChars="-135" w:left="-283"/>
      <w:jc w:val="distribute"/>
      <w:rPr>
        <w:rFonts w:ascii="华文细黑" w:eastAsia="华文细黑" w:hAnsi="华文细黑" w:hint="eastAsia"/>
        <w:color w:val="0D0D0D"/>
        <w:sz w:val="15"/>
        <w:szCs w:val="16"/>
      </w:rPr>
    </w:pPr>
    <w:r>
      <w:rPr>
        <w:rFonts w:ascii="华文细黑" w:eastAsia="华文细黑" w:hAnsi="华文细黑" w:hint="eastAsia"/>
        <w:color w:val="FF0000"/>
        <w:sz w:val="15"/>
        <w:szCs w:val="16"/>
      </w:rPr>
      <w:t>北京</w:t>
    </w:r>
    <w:r>
      <w:rPr>
        <w:rFonts w:ascii="华文细黑" w:eastAsia="华文细黑" w:hAnsi="华文细黑"/>
        <w:color w:val="0D0D0D"/>
        <w:sz w:val="15"/>
        <w:szCs w:val="16"/>
      </w:rPr>
      <w:t>·</w:t>
    </w:r>
    <w:r>
      <w:rPr>
        <w:rFonts w:ascii="华文细黑" w:eastAsia="华文细黑" w:hAnsi="华文细黑" w:hint="eastAsia"/>
        <w:color w:val="0D0D0D"/>
        <w:sz w:val="15"/>
        <w:szCs w:val="16"/>
      </w:rPr>
      <w:t>上海</w:t>
    </w:r>
    <w:r>
      <w:rPr>
        <w:rFonts w:ascii="华文细黑" w:eastAsia="华文细黑" w:hAnsi="华文细黑"/>
        <w:color w:val="0D0D0D"/>
        <w:sz w:val="15"/>
        <w:szCs w:val="16"/>
      </w:rPr>
      <w:t>·</w:t>
    </w:r>
    <w:r>
      <w:rPr>
        <w:rFonts w:ascii="华文细黑" w:eastAsia="华文细黑" w:hAnsi="华文细黑" w:hint="eastAsia"/>
        <w:color w:val="0D0D0D"/>
        <w:sz w:val="15"/>
        <w:szCs w:val="16"/>
      </w:rPr>
      <w:t>深圳</w:t>
    </w:r>
    <w:r>
      <w:rPr>
        <w:rFonts w:ascii="华文细黑" w:eastAsia="华文细黑" w:hAnsi="华文细黑"/>
        <w:color w:val="0D0D0D"/>
        <w:sz w:val="15"/>
        <w:szCs w:val="16"/>
      </w:rPr>
      <w:t>·</w:t>
    </w:r>
    <w:r>
      <w:rPr>
        <w:rFonts w:ascii="华文细黑" w:eastAsia="华文细黑" w:hAnsi="华文细黑" w:hint="eastAsia"/>
        <w:color w:val="0D0D0D"/>
        <w:sz w:val="15"/>
        <w:szCs w:val="16"/>
      </w:rPr>
      <w:t>杭州</w:t>
    </w:r>
    <w:r>
      <w:rPr>
        <w:rFonts w:ascii="华文细黑" w:eastAsia="华文细黑" w:hAnsi="华文细黑"/>
        <w:color w:val="0D0D0D"/>
        <w:sz w:val="15"/>
        <w:szCs w:val="16"/>
      </w:rPr>
      <w:t>·</w:t>
    </w:r>
    <w:r>
      <w:rPr>
        <w:rFonts w:ascii="华文细黑" w:eastAsia="华文细黑" w:hAnsi="华文细黑" w:hint="eastAsia"/>
        <w:color w:val="0D0D0D"/>
        <w:sz w:val="15"/>
        <w:szCs w:val="16"/>
      </w:rPr>
      <w:t>广州</w:t>
    </w:r>
    <w:r>
      <w:rPr>
        <w:rFonts w:ascii="华文细黑" w:eastAsia="华文细黑" w:hAnsi="华文细黑"/>
        <w:color w:val="0D0D0D"/>
        <w:sz w:val="15"/>
        <w:szCs w:val="16"/>
      </w:rPr>
      <w:t>·</w:t>
    </w:r>
    <w:r>
      <w:rPr>
        <w:rFonts w:ascii="华文细黑" w:eastAsia="华文细黑" w:hAnsi="华文细黑" w:hint="eastAsia"/>
        <w:color w:val="0D0D0D"/>
        <w:sz w:val="15"/>
        <w:szCs w:val="16"/>
      </w:rPr>
      <w:t>昆明</w:t>
    </w:r>
    <w:r>
      <w:rPr>
        <w:rFonts w:ascii="华文细黑" w:eastAsia="华文细黑" w:hAnsi="华文细黑"/>
        <w:color w:val="0D0D0D"/>
        <w:sz w:val="15"/>
        <w:szCs w:val="16"/>
      </w:rPr>
      <w:t>·</w:t>
    </w:r>
    <w:r>
      <w:rPr>
        <w:rFonts w:ascii="华文细黑" w:eastAsia="华文细黑" w:hAnsi="华文细黑" w:hint="eastAsia"/>
        <w:color w:val="0D0D0D"/>
        <w:sz w:val="15"/>
        <w:szCs w:val="16"/>
      </w:rPr>
      <w:t>天津</w:t>
    </w:r>
    <w:r>
      <w:rPr>
        <w:rFonts w:ascii="华文细黑" w:eastAsia="华文细黑" w:hAnsi="华文细黑"/>
        <w:color w:val="0D0D0D"/>
        <w:sz w:val="15"/>
        <w:szCs w:val="16"/>
      </w:rPr>
      <w:t>·</w:t>
    </w:r>
    <w:r>
      <w:rPr>
        <w:rFonts w:ascii="华文细黑" w:eastAsia="华文细黑" w:hAnsi="华文细黑" w:hint="eastAsia"/>
        <w:color w:val="0D0D0D"/>
        <w:sz w:val="15"/>
        <w:szCs w:val="16"/>
      </w:rPr>
      <w:t>成都</w:t>
    </w:r>
    <w:r>
      <w:rPr>
        <w:rFonts w:ascii="华文细黑" w:eastAsia="华文细黑" w:hAnsi="华文细黑"/>
        <w:color w:val="0D0D0D"/>
        <w:sz w:val="15"/>
        <w:szCs w:val="16"/>
      </w:rPr>
      <w:t>·</w:t>
    </w:r>
    <w:r>
      <w:rPr>
        <w:rFonts w:ascii="华文细黑" w:eastAsia="华文细黑" w:hAnsi="华文细黑" w:hint="eastAsia"/>
        <w:color w:val="0D0D0D"/>
        <w:sz w:val="15"/>
        <w:szCs w:val="16"/>
      </w:rPr>
      <w:t>福州</w:t>
    </w:r>
    <w:r>
      <w:rPr>
        <w:rFonts w:ascii="华文细黑" w:eastAsia="华文细黑" w:hAnsi="华文细黑"/>
        <w:color w:val="0D0D0D"/>
        <w:sz w:val="15"/>
        <w:szCs w:val="16"/>
      </w:rPr>
      <w:t>·</w:t>
    </w:r>
    <w:r>
      <w:rPr>
        <w:rFonts w:ascii="华文细黑" w:eastAsia="华文细黑" w:hAnsi="华文细黑" w:hint="eastAsia"/>
        <w:color w:val="0D0D0D"/>
        <w:sz w:val="15"/>
        <w:szCs w:val="16"/>
      </w:rPr>
      <w:t>宁波</w:t>
    </w:r>
    <w:r>
      <w:rPr>
        <w:rFonts w:ascii="华文细黑" w:eastAsia="华文细黑" w:hAnsi="华文细黑"/>
        <w:color w:val="0D0D0D"/>
        <w:sz w:val="15"/>
        <w:szCs w:val="16"/>
      </w:rPr>
      <w:t>·</w:t>
    </w:r>
    <w:r>
      <w:rPr>
        <w:rFonts w:ascii="华文细黑" w:eastAsia="华文细黑" w:hAnsi="华文细黑" w:hint="eastAsia"/>
        <w:color w:val="0D0D0D"/>
        <w:sz w:val="15"/>
        <w:szCs w:val="16"/>
      </w:rPr>
      <w:t>西安</w:t>
    </w:r>
    <w:r>
      <w:rPr>
        <w:rFonts w:ascii="华文细黑" w:eastAsia="华文细黑" w:hAnsi="华文细黑"/>
        <w:color w:val="0D0D0D"/>
        <w:sz w:val="15"/>
        <w:szCs w:val="16"/>
      </w:rPr>
      <w:t>·</w:t>
    </w:r>
    <w:r>
      <w:rPr>
        <w:rFonts w:ascii="华文细黑" w:eastAsia="华文细黑" w:hAnsi="华文细黑" w:hint="eastAsia"/>
        <w:color w:val="0D0D0D"/>
        <w:sz w:val="15"/>
        <w:szCs w:val="16"/>
      </w:rPr>
      <w:t>南京</w:t>
    </w:r>
    <w:r>
      <w:rPr>
        <w:rFonts w:ascii="华文细黑" w:eastAsia="华文细黑" w:hAnsi="华文细黑"/>
        <w:color w:val="0D0D0D"/>
        <w:sz w:val="15"/>
        <w:szCs w:val="16"/>
      </w:rPr>
      <w:t>·</w:t>
    </w:r>
    <w:r>
      <w:rPr>
        <w:rFonts w:ascii="华文细黑" w:eastAsia="华文细黑" w:hAnsi="华文细黑" w:hint="eastAsia"/>
        <w:color w:val="0D0D0D"/>
        <w:sz w:val="15"/>
        <w:szCs w:val="16"/>
      </w:rPr>
      <w:t>南宁</w:t>
    </w:r>
    <w:r>
      <w:rPr>
        <w:rFonts w:ascii="华文细黑" w:eastAsia="华文细黑" w:hAnsi="华文细黑"/>
        <w:color w:val="0D0D0D"/>
        <w:sz w:val="15"/>
        <w:szCs w:val="16"/>
      </w:rPr>
      <w:t>·</w:t>
    </w:r>
    <w:r>
      <w:rPr>
        <w:rFonts w:ascii="华文细黑" w:eastAsia="华文细黑" w:hAnsi="华文细黑" w:hint="eastAsia"/>
        <w:color w:val="0D0D0D"/>
        <w:sz w:val="15"/>
        <w:szCs w:val="16"/>
      </w:rPr>
      <w:t>济南</w:t>
    </w:r>
    <w:r>
      <w:rPr>
        <w:rFonts w:ascii="华文细黑" w:eastAsia="华文细黑" w:hAnsi="华文细黑"/>
        <w:color w:val="0D0D0D"/>
        <w:sz w:val="15"/>
        <w:szCs w:val="16"/>
      </w:rPr>
      <w:t>·</w:t>
    </w:r>
    <w:r>
      <w:rPr>
        <w:rFonts w:ascii="华文细黑" w:eastAsia="华文细黑" w:hAnsi="华文细黑" w:hint="eastAsia"/>
        <w:color w:val="0D0D0D"/>
        <w:sz w:val="15"/>
        <w:szCs w:val="16"/>
      </w:rPr>
      <w:t>重庆</w:t>
    </w:r>
    <w:r>
      <w:rPr>
        <w:rFonts w:ascii="华文细黑" w:eastAsia="华文细黑" w:hAnsi="华文细黑"/>
        <w:color w:val="0D0D0D"/>
        <w:sz w:val="15"/>
        <w:szCs w:val="16"/>
      </w:rPr>
      <w:t>·</w:t>
    </w:r>
    <w:r>
      <w:rPr>
        <w:rFonts w:ascii="华文细黑" w:eastAsia="华文细黑" w:hAnsi="华文细黑" w:hint="eastAsia"/>
        <w:color w:val="0D0D0D"/>
        <w:sz w:val="15"/>
        <w:szCs w:val="16"/>
      </w:rPr>
      <w:t>香港</w:t>
    </w:r>
    <w:r>
      <w:rPr>
        <w:rFonts w:ascii="华文细黑" w:eastAsia="华文细黑" w:hAnsi="华文细黑"/>
        <w:color w:val="0D0D0D"/>
        <w:sz w:val="15"/>
        <w:szCs w:val="16"/>
      </w:rPr>
      <w:t>·</w:t>
    </w:r>
    <w:r>
      <w:rPr>
        <w:rFonts w:ascii="华文细黑" w:eastAsia="华文细黑" w:hAnsi="华文细黑" w:hint="eastAsia"/>
        <w:color w:val="0D0D0D"/>
        <w:sz w:val="15"/>
        <w:szCs w:val="16"/>
      </w:rPr>
      <w:t>巴黎</w:t>
    </w:r>
    <w:r>
      <w:rPr>
        <w:rFonts w:ascii="华文细黑" w:eastAsia="华文细黑" w:hAnsi="华文细黑"/>
        <w:color w:val="0D0D0D"/>
        <w:sz w:val="15"/>
        <w:szCs w:val="16"/>
      </w:rPr>
      <w:t>·</w:t>
    </w:r>
    <w:r>
      <w:rPr>
        <w:rFonts w:ascii="华文细黑" w:eastAsia="华文细黑" w:hAnsi="华文细黑" w:hint="eastAsia"/>
        <w:color w:val="0D0D0D"/>
        <w:sz w:val="15"/>
        <w:szCs w:val="16"/>
      </w:rPr>
      <w:t>马德里</w:t>
    </w:r>
    <w:r>
      <w:rPr>
        <w:rFonts w:ascii="华文细黑" w:eastAsia="华文细黑" w:hAnsi="华文细黑"/>
        <w:color w:val="0D0D0D"/>
        <w:sz w:val="15"/>
        <w:szCs w:val="16"/>
      </w:rPr>
      <w:t>·</w:t>
    </w:r>
    <w:r>
      <w:rPr>
        <w:rFonts w:ascii="华文细黑" w:eastAsia="华文细黑" w:hAnsi="华文细黑" w:hint="eastAsia"/>
        <w:color w:val="0D0D0D"/>
        <w:sz w:val="15"/>
        <w:szCs w:val="16"/>
      </w:rPr>
      <w:t>硅谷</w:t>
    </w:r>
  </w:p>
  <w:p w14:paraId="39452380" w14:textId="77777777" w:rsidR="0025099C" w:rsidRDefault="00494EEB">
    <w:pPr>
      <w:pStyle w:val="a5"/>
      <w:pBdr>
        <w:bottom w:val="none" w:sz="0" w:space="0" w:color="auto"/>
      </w:pBdr>
      <w:tabs>
        <w:tab w:val="clear" w:pos="8306"/>
        <w:tab w:val="right" w:pos="9072"/>
      </w:tabs>
      <w:ind w:leftChars="-67" w:left="-141"/>
      <w:jc w:val="distribute"/>
      <w:rPr>
        <w:rFonts w:ascii="Arial Narrow" w:hAnsi="Arial Narrow"/>
        <w:b/>
        <w:color w:val="0D0D0D"/>
        <w:w w:val="80"/>
        <w:sz w:val="13"/>
        <w:szCs w:val="13"/>
      </w:rPr>
    </w:pPr>
    <w:r>
      <w:rPr>
        <w:rFonts w:ascii="Arial Narrow" w:hAnsi="Arial Narrow"/>
        <w:b/>
        <w:color w:val="FF0000"/>
        <w:w w:val="80"/>
        <w:sz w:val="13"/>
        <w:szCs w:val="13"/>
      </w:rPr>
      <w:t>BEIJING</w:t>
    </w:r>
    <w:r>
      <w:rPr>
        <w:rFonts w:ascii="华文细黑" w:eastAsia="华文细黑" w:hAnsi="华文细黑"/>
        <w:color w:val="0D0D0D"/>
        <w:sz w:val="13"/>
        <w:szCs w:val="13"/>
      </w:rPr>
      <w:t>·</w:t>
    </w:r>
    <w:r>
      <w:rPr>
        <w:rFonts w:ascii="Arial Narrow" w:hAnsi="Arial Narrow"/>
        <w:b/>
        <w:color w:val="0D0D0D"/>
        <w:w w:val="80"/>
        <w:sz w:val="13"/>
        <w:szCs w:val="13"/>
      </w:rPr>
      <w:t>SHANGHAI</w:t>
    </w:r>
    <w:r>
      <w:rPr>
        <w:rFonts w:ascii="华文细黑" w:eastAsia="华文细黑" w:hAnsi="华文细黑"/>
        <w:color w:val="0D0D0D"/>
        <w:sz w:val="13"/>
        <w:szCs w:val="13"/>
      </w:rPr>
      <w:t>·</w:t>
    </w:r>
    <w:r>
      <w:rPr>
        <w:rFonts w:ascii="Arial Narrow" w:hAnsi="Arial Narrow"/>
        <w:b/>
        <w:color w:val="0D0D0D"/>
        <w:w w:val="80"/>
        <w:sz w:val="13"/>
        <w:szCs w:val="13"/>
      </w:rPr>
      <w:t>SHENZHEN</w:t>
    </w:r>
    <w:r>
      <w:rPr>
        <w:rFonts w:ascii="华文细黑" w:eastAsia="华文细黑" w:hAnsi="华文细黑"/>
        <w:color w:val="0D0D0D"/>
        <w:sz w:val="13"/>
        <w:szCs w:val="13"/>
      </w:rPr>
      <w:t>·</w:t>
    </w:r>
    <w:r>
      <w:rPr>
        <w:rFonts w:ascii="Arial Narrow" w:hAnsi="Arial Narrow"/>
        <w:b/>
        <w:color w:val="0D0D0D"/>
        <w:w w:val="80"/>
        <w:sz w:val="13"/>
        <w:szCs w:val="13"/>
      </w:rPr>
      <w:t>HANGZHOU</w:t>
    </w:r>
    <w:r>
      <w:rPr>
        <w:rFonts w:ascii="华文细黑" w:eastAsia="华文细黑" w:hAnsi="华文细黑"/>
        <w:color w:val="0D0D0D"/>
        <w:sz w:val="13"/>
        <w:szCs w:val="13"/>
      </w:rPr>
      <w:t>·</w:t>
    </w:r>
    <w:r>
      <w:rPr>
        <w:rFonts w:ascii="Arial Narrow" w:hAnsi="Arial Narrow"/>
        <w:b/>
        <w:color w:val="0D0D0D"/>
        <w:w w:val="80"/>
        <w:sz w:val="13"/>
        <w:szCs w:val="13"/>
      </w:rPr>
      <w:t>GUANGZHOU</w:t>
    </w:r>
    <w:r>
      <w:rPr>
        <w:rFonts w:ascii="华文细黑" w:eastAsia="华文细黑" w:hAnsi="华文细黑"/>
        <w:color w:val="0D0D0D"/>
        <w:sz w:val="13"/>
        <w:szCs w:val="13"/>
      </w:rPr>
      <w:t>·</w:t>
    </w:r>
    <w:r>
      <w:rPr>
        <w:rFonts w:ascii="Arial Narrow" w:hAnsi="Arial Narrow"/>
        <w:b/>
        <w:color w:val="0D0D0D"/>
        <w:w w:val="80"/>
        <w:sz w:val="13"/>
        <w:szCs w:val="13"/>
      </w:rPr>
      <w:t>KUNMINTG</w:t>
    </w:r>
    <w:r>
      <w:rPr>
        <w:rFonts w:ascii="华文细黑" w:eastAsia="华文细黑" w:hAnsi="华文细黑"/>
        <w:color w:val="0D0D0D"/>
        <w:sz w:val="13"/>
        <w:szCs w:val="13"/>
      </w:rPr>
      <w:t>·</w:t>
    </w:r>
    <w:r>
      <w:rPr>
        <w:rFonts w:ascii="Arial Narrow" w:hAnsi="Arial Narrow"/>
        <w:b/>
        <w:color w:val="0D0D0D"/>
        <w:w w:val="80"/>
        <w:sz w:val="13"/>
        <w:szCs w:val="13"/>
      </w:rPr>
      <w:t>TIANJIN</w:t>
    </w:r>
    <w:r>
      <w:rPr>
        <w:rFonts w:ascii="华文细黑" w:eastAsia="华文细黑" w:hAnsi="华文细黑"/>
        <w:color w:val="0D0D0D"/>
        <w:sz w:val="13"/>
        <w:szCs w:val="13"/>
      </w:rPr>
      <w:t>·</w:t>
    </w:r>
    <w:r>
      <w:rPr>
        <w:rFonts w:ascii="Arial Narrow" w:hAnsi="Arial Narrow"/>
        <w:b/>
        <w:color w:val="0D0D0D"/>
        <w:w w:val="80"/>
        <w:sz w:val="13"/>
        <w:szCs w:val="13"/>
      </w:rPr>
      <w:t>CHENGDU</w:t>
    </w:r>
    <w:r>
      <w:rPr>
        <w:rFonts w:ascii="华文细黑" w:eastAsia="华文细黑" w:hAnsi="华文细黑"/>
        <w:color w:val="0D0D0D"/>
        <w:sz w:val="13"/>
        <w:szCs w:val="13"/>
      </w:rPr>
      <w:t>·</w:t>
    </w:r>
    <w:r>
      <w:rPr>
        <w:rFonts w:ascii="Arial Narrow" w:hAnsi="Arial Narrow"/>
        <w:b/>
        <w:color w:val="0D0D0D"/>
        <w:w w:val="80"/>
        <w:sz w:val="13"/>
        <w:szCs w:val="13"/>
      </w:rPr>
      <w:t>FUZHOU</w:t>
    </w:r>
    <w:r>
      <w:rPr>
        <w:rFonts w:ascii="华文细黑" w:eastAsia="华文细黑" w:hAnsi="华文细黑"/>
        <w:color w:val="0D0D0D"/>
        <w:sz w:val="13"/>
        <w:szCs w:val="13"/>
      </w:rPr>
      <w:t>·</w:t>
    </w:r>
    <w:r>
      <w:rPr>
        <w:rFonts w:ascii="Arial Narrow" w:hAnsi="Arial Narrow"/>
        <w:b/>
        <w:color w:val="0D0D0D"/>
        <w:w w:val="80"/>
        <w:sz w:val="13"/>
        <w:szCs w:val="13"/>
      </w:rPr>
      <w:t>NINGBO</w:t>
    </w:r>
  </w:p>
  <w:p w14:paraId="2C6FA9B0" w14:textId="77777777" w:rsidR="0025099C" w:rsidRDefault="00494EEB">
    <w:pPr>
      <w:pStyle w:val="a5"/>
      <w:pBdr>
        <w:bottom w:val="none" w:sz="0" w:space="0" w:color="auto"/>
      </w:pBdr>
      <w:jc w:val="distribute"/>
      <w:rPr>
        <w:rFonts w:ascii="Arial Narrow" w:hAnsi="Arial Narrow"/>
        <w:b/>
        <w:color w:val="0D0D0D"/>
        <w:w w:val="80"/>
        <w:sz w:val="13"/>
        <w:szCs w:val="13"/>
      </w:rPr>
    </w:pPr>
    <w:r>
      <w:rPr>
        <w:rFonts w:ascii="Arial Narrow" w:hAnsi="Arial Narrow"/>
        <w:b/>
        <w:color w:val="0D0D0D"/>
        <w:w w:val="80"/>
        <w:sz w:val="13"/>
        <w:szCs w:val="13"/>
      </w:rPr>
      <w:t>XI’AN</w:t>
    </w:r>
    <w:r>
      <w:rPr>
        <w:rFonts w:ascii="华文细黑" w:eastAsia="华文细黑" w:hAnsi="华文细黑"/>
        <w:color w:val="0D0D0D"/>
        <w:sz w:val="13"/>
        <w:szCs w:val="13"/>
      </w:rPr>
      <w:t>·</w:t>
    </w:r>
    <w:r>
      <w:rPr>
        <w:rFonts w:ascii="Arial Narrow" w:hAnsi="Arial Narrow"/>
        <w:b/>
        <w:color w:val="0D0D0D"/>
        <w:w w:val="80"/>
        <w:sz w:val="13"/>
        <w:szCs w:val="13"/>
      </w:rPr>
      <w:t>NANJING</w:t>
    </w:r>
    <w:r>
      <w:rPr>
        <w:rFonts w:ascii="华文细黑" w:eastAsia="华文细黑" w:hAnsi="华文细黑"/>
        <w:color w:val="0D0D0D"/>
        <w:sz w:val="13"/>
        <w:szCs w:val="13"/>
      </w:rPr>
      <w:t>·</w:t>
    </w:r>
    <w:r>
      <w:rPr>
        <w:rFonts w:ascii="Arial Narrow" w:hAnsi="Arial Narrow"/>
        <w:b/>
        <w:color w:val="0D0D0D"/>
        <w:w w:val="80"/>
        <w:sz w:val="13"/>
        <w:szCs w:val="13"/>
      </w:rPr>
      <w:t>NANNING</w:t>
    </w:r>
    <w:r>
      <w:rPr>
        <w:rFonts w:ascii="华文细黑" w:eastAsia="华文细黑" w:hAnsi="华文细黑"/>
        <w:color w:val="0D0D0D"/>
        <w:sz w:val="13"/>
        <w:szCs w:val="13"/>
      </w:rPr>
      <w:t>·</w:t>
    </w:r>
    <w:r>
      <w:rPr>
        <w:rFonts w:ascii="Arial Narrow" w:hAnsi="Arial Narrow"/>
        <w:b/>
        <w:color w:val="0D0D0D"/>
        <w:w w:val="80"/>
        <w:sz w:val="13"/>
        <w:szCs w:val="13"/>
      </w:rPr>
      <w:t>JINAN</w:t>
    </w:r>
    <w:r>
      <w:rPr>
        <w:rFonts w:ascii="华文细黑" w:eastAsia="华文细黑" w:hAnsi="华文细黑"/>
        <w:color w:val="0D0D0D"/>
        <w:sz w:val="13"/>
        <w:szCs w:val="13"/>
      </w:rPr>
      <w:t>·</w:t>
    </w:r>
    <w:r>
      <w:rPr>
        <w:rFonts w:ascii="Arial Narrow" w:hAnsi="Arial Narrow"/>
        <w:b/>
        <w:color w:val="0D0D0D"/>
        <w:w w:val="80"/>
        <w:sz w:val="13"/>
        <w:szCs w:val="13"/>
      </w:rPr>
      <w:t>CHOGNQING</w:t>
    </w:r>
    <w:r>
      <w:rPr>
        <w:rFonts w:ascii="华文细黑" w:eastAsia="华文细黑" w:hAnsi="华文细黑"/>
        <w:color w:val="0D0D0D"/>
        <w:sz w:val="13"/>
        <w:szCs w:val="13"/>
      </w:rPr>
      <w:t>·</w:t>
    </w:r>
    <w:r>
      <w:rPr>
        <w:rFonts w:ascii="Arial Narrow" w:hAnsi="Arial Narrow"/>
        <w:b/>
        <w:color w:val="0D0D0D"/>
        <w:w w:val="80"/>
        <w:sz w:val="13"/>
        <w:szCs w:val="13"/>
      </w:rPr>
      <w:t>HONG KONG</w:t>
    </w:r>
    <w:r>
      <w:rPr>
        <w:rFonts w:ascii="华文细黑" w:eastAsia="华文细黑" w:hAnsi="华文细黑"/>
        <w:color w:val="0D0D0D"/>
        <w:sz w:val="13"/>
        <w:szCs w:val="13"/>
      </w:rPr>
      <w:t>·</w:t>
    </w:r>
    <w:r>
      <w:rPr>
        <w:rFonts w:ascii="Arial Narrow" w:hAnsi="Arial Narrow"/>
        <w:b/>
        <w:color w:val="0D0D0D"/>
        <w:w w:val="80"/>
        <w:sz w:val="13"/>
        <w:szCs w:val="13"/>
      </w:rPr>
      <w:t>PARIS</w:t>
    </w:r>
    <w:r>
      <w:rPr>
        <w:rFonts w:ascii="华文细黑" w:eastAsia="华文细黑" w:hAnsi="华文细黑"/>
        <w:color w:val="0D0D0D"/>
        <w:sz w:val="13"/>
        <w:szCs w:val="13"/>
      </w:rPr>
      <w:t>·</w:t>
    </w:r>
    <w:r>
      <w:rPr>
        <w:rFonts w:ascii="Arial Narrow" w:hAnsi="Arial Narrow"/>
        <w:b/>
        <w:color w:val="0D0D0D"/>
        <w:w w:val="80"/>
        <w:sz w:val="13"/>
        <w:szCs w:val="13"/>
      </w:rPr>
      <w:t>MADRID</w:t>
    </w:r>
    <w:r>
      <w:rPr>
        <w:rFonts w:ascii="华文细黑" w:eastAsia="华文细黑" w:hAnsi="华文细黑"/>
        <w:color w:val="0D0D0D"/>
        <w:sz w:val="13"/>
        <w:szCs w:val="13"/>
      </w:rPr>
      <w:t>·</w:t>
    </w:r>
    <w:r>
      <w:rPr>
        <w:rFonts w:ascii="Arial Narrow" w:hAnsi="Arial Narrow"/>
        <w:b/>
        <w:color w:val="0D0D0D"/>
        <w:w w:val="80"/>
        <w:sz w:val="13"/>
        <w:szCs w:val="13"/>
      </w:rPr>
      <w:t>SILICON VALLEY</w:t>
    </w:r>
  </w:p>
  <w:p w14:paraId="52CD83A7" w14:textId="77777777" w:rsidR="0025099C" w:rsidRDefault="00494EEB">
    <w:pPr>
      <w:adjustRightInd w:val="0"/>
      <w:snapToGrid w:val="0"/>
      <w:spacing w:beforeLines="50" w:before="120"/>
      <w:jc w:val="center"/>
      <w:rPr>
        <w:sz w:val="16"/>
        <w:szCs w:val="16"/>
      </w:rPr>
    </w:pPr>
    <w:r>
      <w:rPr>
        <w:rFonts w:hint="eastAsia"/>
        <w:sz w:val="16"/>
        <w:szCs w:val="16"/>
      </w:rPr>
      <w:t>北京</w:t>
    </w:r>
    <w:r>
      <w:rPr>
        <w:rFonts w:ascii="宋体" w:hAnsi="宋体" w:hint="eastAsia"/>
        <w:sz w:val="16"/>
        <w:szCs w:val="16"/>
      </w:rPr>
      <w:t>市</w:t>
    </w:r>
    <w:r>
      <w:rPr>
        <w:rFonts w:hint="eastAsia"/>
        <w:sz w:val="16"/>
        <w:szCs w:val="16"/>
      </w:rPr>
      <w:t>朝阳区东三环北路</w:t>
    </w:r>
    <w:r>
      <w:rPr>
        <w:sz w:val="16"/>
        <w:szCs w:val="16"/>
      </w:rPr>
      <w:t>38</w:t>
    </w:r>
    <w:r>
      <w:rPr>
        <w:rFonts w:hint="eastAsia"/>
        <w:sz w:val="16"/>
        <w:szCs w:val="16"/>
      </w:rPr>
      <w:t>号泰康金融大厦</w:t>
    </w:r>
    <w:r>
      <w:rPr>
        <w:sz w:val="16"/>
        <w:szCs w:val="16"/>
      </w:rPr>
      <w:t>9</w:t>
    </w:r>
    <w:r>
      <w:rPr>
        <w:rFonts w:hint="eastAsia"/>
        <w:sz w:val="16"/>
        <w:szCs w:val="16"/>
      </w:rPr>
      <w:t>层</w:t>
    </w:r>
    <w:r>
      <w:rPr>
        <w:rFonts w:ascii="宋体" w:hAnsi="宋体"/>
        <w:sz w:val="16"/>
        <w:szCs w:val="16"/>
      </w:rPr>
      <w:t xml:space="preserve">   </w:t>
    </w:r>
    <w:r>
      <w:rPr>
        <w:rFonts w:hint="eastAsia"/>
        <w:sz w:val="16"/>
        <w:szCs w:val="16"/>
      </w:rPr>
      <w:t>邮编：</w:t>
    </w:r>
    <w:r>
      <w:rPr>
        <w:sz w:val="16"/>
        <w:szCs w:val="16"/>
      </w:rPr>
      <w:t>10002</w:t>
    </w:r>
    <w:r>
      <w:rPr>
        <w:rFonts w:ascii="宋体" w:hAnsi="宋体"/>
        <w:sz w:val="16"/>
        <w:szCs w:val="16"/>
      </w:rPr>
      <w:t>6</w:t>
    </w:r>
  </w:p>
  <w:p w14:paraId="314078C8" w14:textId="77777777" w:rsidR="0025099C" w:rsidRDefault="00494EEB">
    <w:pPr>
      <w:adjustRightInd w:val="0"/>
      <w:snapToGrid w:val="0"/>
      <w:jc w:val="center"/>
      <w:rPr>
        <w:rFonts w:eastAsia="PMingLiU"/>
        <w:sz w:val="16"/>
        <w:szCs w:val="16"/>
        <w:lang w:eastAsia="zh-TW"/>
      </w:rPr>
    </w:pPr>
    <w:r>
      <w:rPr>
        <w:sz w:val="16"/>
        <w:szCs w:val="16"/>
      </w:rPr>
      <w:t>9/F, Taikang Financial Tower, 38 North Road East Third Ring, Chaoyang District, Beijing 100026, China</w:t>
    </w:r>
  </w:p>
  <w:p w14:paraId="116665B4" w14:textId="77777777" w:rsidR="0025099C" w:rsidRDefault="00494EEB">
    <w:pPr>
      <w:adjustRightInd w:val="0"/>
      <w:snapToGrid w:val="0"/>
      <w:jc w:val="center"/>
      <w:rPr>
        <w:sz w:val="16"/>
        <w:szCs w:val="16"/>
      </w:rPr>
    </w:pPr>
    <w:r>
      <w:rPr>
        <w:rFonts w:hint="eastAsia"/>
        <w:sz w:val="16"/>
        <w:szCs w:val="16"/>
      </w:rPr>
      <w:t>电话</w:t>
    </w:r>
    <w:r>
      <w:rPr>
        <w:sz w:val="16"/>
        <w:szCs w:val="16"/>
      </w:rPr>
      <w:t>/Tel: (+86)(10) 6589</w:t>
    </w:r>
    <w:r>
      <w:rPr>
        <w:rFonts w:ascii="宋体" w:hAnsi="宋体"/>
        <w:sz w:val="16"/>
        <w:szCs w:val="16"/>
      </w:rPr>
      <w:t xml:space="preserve"> </w:t>
    </w:r>
    <w:r>
      <w:rPr>
        <w:sz w:val="16"/>
        <w:szCs w:val="16"/>
      </w:rPr>
      <w:t>0699</w:t>
    </w:r>
    <w:r>
      <w:rPr>
        <w:rFonts w:ascii="宋体" w:hAnsi="宋体"/>
        <w:sz w:val="16"/>
        <w:szCs w:val="16"/>
      </w:rPr>
      <w:t xml:space="preserve">  </w:t>
    </w:r>
    <w:r>
      <w:rPr>
        <w:rFonts w:hint="eastAsia"/>
        <w:sz w:val="16"/>
        <w:szCs w:val="16"/>
      </w:rPr>
      <w:t>传真</w:t>
    </w:r>
    <w:r>
      <w:rPr>
        <w:sz w:val="16"/>
        <w:szCs w:val="16"/>
      </w:rPr>
      <w:t>/Fax: (+</w:t>
    </w:r>
    <w:proofErr w:type="gramStart"/>
    <w:r>
      <w:rPr>
        <w:sz w:val="16"/>
        <w:szCs w:val="16"/>
      </w:rPr>
      <w:t>86)(</w:t>
    </w:r>
    <w:proofErr w:type="gramEnd"/>
    <w:r>
      <w:rPr>
        <w:rFonts w:ascii="宋体" w:hAnsi="宋体"/>
        <w:sz w:val="16"/>
        <w:szCs w:val="16"/>
      </w:rPr>
      <w:t>10</w:t>
    </w:r>
    <w:r>
      <w:rPr>
        <w:sz w:val="16"/>
        <w:szCs w:val="16"/>
      </w:rPr>
      <w:t>) 6517</w:t>
    </w:r>
    <w:r>
      <w:rPr>
        <w:rFonts w:ascii="宋体" w:hAnsi="宋体"/>
        <w:sz w:val="16"/>
        <w:szCs w:val="16"/>
      </w:rPr>
      <w:t xml:space="preserve"> </w:t>
    </w:r>
    <w:r>
      <w:rPr>
        <w:sz w:val="16"/>
        <w:szCs w:val="16"/>
      </w:rPr>
      <w:t>6800</w:t>
    </w:r>
  </w:p>
  <w:p w14:paraId="20586416" w14:textId="77777777" w:rsidR="0025099C" w:rsidRDefault="00494EEB">
    <w:pPr>
      <w:adjustRightInd w:val="0"/>
      <w:snapToGrid w:val="0"/>
      <w:spacing w:afterLines="50" w:after="120"/>
      <w:jc w:val="center"/>
      <w:rPr>
        <w:sz w:val="16"/>
        <w:szCs w:val="16"/>
      </w:rPr>
    </w:pPr>
    <w:r>
      <w:rPr>
        <w:rFonts w:hint="eastAsia"/>
        <w:sz w:val="16"/>
        <w:szCs w:val="16"/>
      </w:rPr>
      <w:t>网址</w:t>
    </w:r>
    <w:r>
      <w:rPr>
        <w:sz w:val="16"/>
        <w:szCs w:val="16"/>
      </w:rPr>
      <w:t>/Website: http://www.grandall.com.cn</w:t>
    </w:r>
  </w:p>
  <w:p w14:paraId="7A047495" w14:textId="77777777" w:rsidR="0025099C" w:rsidRDefault="00494EEB">
    <w:pPr>
      <w:pStyle w:val="a5"/>
      <w:pBdr>
        <w:bottom w:val="none" w:sz="0" w:space="0" w:color="auto"/>
      </w:pBdr>
      <w:tabs>
        <w:tab w:val="clear" w:pos="4153"/>
        <w:tab w:val="clear" w:pos="8306"/>
        <w:tab w:val="center" w:pos="0"/>
        <w:tab w:val="right" w:pos="9781"/>
      </w:tabs>
      <w:ind w:rightChars="-16" w:right="-34"/>
      <w:jc w:val="left"/>
    </w:pPr>
    <w:r>
      <w:rPr>
        <w:noProof/>
      </w:rPr>
      <mc:AlternateContent>
        <mc:Choice Requires="wps">
          <w:drawing>
            <wp:anchor distT="0" distB="0" distL="114300" distR="114300" simplePos="0" relativeHeight="251659264" behindDoc="0" locked="0" layoutInCell="1" allowOverlap="1" wp14:anchorId="4DE33564" wp14:editId="20841D2A">
              <wp:simplePos x="0" y="0"/>
              <wp:positionH relativeFrom="column">
                <wp:posOffset>-246380</wp:posOffset>
              </wp:positionH>
              <wp:positionV relativeFrom="paragraph">
                <wp:posOffset>120015</wp:posOffset>
              </wp:positionV>
              <wp:extent cx="6009005" cy="0"/>
              <wp:effectExtent l="0" t="6350" r="1270" b="7620"/>
              <wp:wrapNone/>
              <wp:docPr id="3" name="AutoShap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09005" cy="0"/>
                      </a:xfrm>
                      <a:prstGeom prst="straightConnector1">
                        <a:avLst/>
                      </a:prstGeom>
                      <a:noFill/>
                      <a:ln w="12700">
                        <a:solidFill>
                          <a:srgbClr val="000000"/>
                        </a:solidFill>
                        <a:round/>
                      </a:ln>
                    </wps:spPr>
                    <wps:bodyPr/>
                  </wps:wsp>
                </a:graphicData>
              </a:graphic>
            </wp:anchor>
          </w:drawing>
        </mc:Choice>
        <mc:Fallback>
          <w:pict>
            <v:shapetype w14:anchorId="1FD7F1F0" id="_x0000_t32" coordsize="21600,21600" o:spt="32" o:oned="t" path="m,l21600,21600e" filled="f">
              <v:path arrowok="t" fillok="f" o:connecttype="none"/>
              <o:lock v:ext="edit" shapetype="t"/>
            </v:shapetype>
            <v:shape id="AutoShape 2" o:spid="_x0000_s1026" type="#_x0000_t32" style="position:absolute;margin-left:-19.4pt;margin-top:9.45pt;width:473.15pt;height:0;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" strokeweight="1pt"/>
          </w:pict>
        </mc:Fallback>
      </mc:AlternateContent>
    </w:r>
  </w:p>
  <w:p w14:paraId="17F97B1B" w14:textId="77777777" w:rsidR="0025099C" w:rsidRDefault="0025099C">
    <w:pPr>
      <w:pStyle w:val="a5"/>
      <w:pBdr>
        <w:bottom w:val="none" w:sz="0" w:space="0" w:color="auto"/>
      </w:pBdr>
      <w:jc w:val="left"/>
    </w:pPr>
  </w:p>
  <w:p w14:paraId="58F481C4" w14:textId="77777777" w:rsidR="0025099C" w:rsidRDefault="0025099C">
    <w:pPr>
      <w:pStyle w:val="a5"/>
      <w:pBdr>
        <w:bottom w:val="none" w:sz="0" w:space="0" w:color="auto"/>
      </w:pBdr>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236A305"/>
    <w:multiLevelType w:val="multilevel"/>
    <w:tmpl w:val="4236A305"/>
    <w:lvl w:ilvl="0">
      <w:start w:val="1"/>
      <w:numFmt w:val="decimal"/>
      <w:pStyle w:val="1"/>
      <w:lvlText w:val="%1."/>
      <w:lvlJc w:val="left"/>
      <w:pPr>
        <w:tabs>
          <w:tab w:val="left" w:pos="965"/>
        </w:tabs>
        <w:ind w:left="965" w:hanging="425"/>
      </w:pPr>
      <w:rPr>
        <w:rFonts w:ascii="Arial Unicode MS" w:eastAsia="Arial Unicode MS" w:hAnsi="Arial Unicode MS" w:cs="Times New Roman" w:hint="eastAsia"/>
        <w:b/>
        <w:i w:val="0"/>
        <w:sz w:val="28"/>
        <w:szCs w:val="28"/>
      </w:rPr>
    </w:lvl>
    <w:lvl w:ilvl="1">
      <w:start w:val="1"/>
      <w:numFmt w:val="decimal"/>
      <w:pStyle w:val="2"/>
      <w:lvlText w:val="%1.%2"/>
      <w:lvlJc w:val="left"/>
      <w:pPr>
        <w:tabs>
          <w:tab w:val="left" w:pos="1467"/>
        </w:tabs>
        <w:ind w:left="1887" w:hanging="567"/>
      </w:pPr>
      <w:rPr>
        <w:rFonts w:ascii="Arial Unicode MS" w:eastAsia="Arial Unicode MS" w:hAnsi="Arial Unicode MS" w:cs="Times New Roman" w:hint="eastAsia"/>
        <w:b/>
        <w:i w:val="0"/>
        <w:sz w:val="24"/>
        <w:lang w:val="en-US"/>
      </w:rPr>
    </w:lvl>
    <w:lvl w:ilvl="2">
      <w:start w:val="1"/>
      <w:numFmt w:val="decimal"/>
      <w:pStyle w:val="3"/>
      <w:lvlText w:val="%1.%2.%3"/>
      <w:lvlJc w:val="left"/>
      <w:pPr>
        <w:tabs>
          <w:tab w:val="left" w:pos="1276"/>
        </w:tabs>
        <w:ind w:left="1561" w:hanging="255"/>
      </w:pPr>
      <w:rPr>
        <w:rFonts w:ascii="Arial Unicode MS" w:eastAsia="Arial Unicode MS" w:hAnsi="Arial Unicode MS" w:cs="Times New Roman" w:hint="eastAsia"/>
        <w:b/>
        <w:i w:val="0"/>
        <w:sz w:val="24"/>
      </w:rPr>
    </w:lvl>
    <w:lvl w:ilvl="3">
      <w:start w:val="1"/>
      <w:numFmt w:val="decimal"/>
      <w:lvlText w:val="%1.%2.%3.%4"/>
      <w:lvlJc w:val="left"/>
      <w:pPr>
        <w:tabs>
          <w:tab w:val="left" w:pos="2356"/>
        </w:tabs>
        <w:ind w:left="2359" w:hanging="1083"/>
      </w:pPr>
      <w:rPr>
        <w:rFonts w:ascii="Arial Unicode MS" w:eastAsia="Arial Unicode MS" w:hAnsi="Arial Unicode MS" w:cs="Times New Roman" w:hint="eastAsia"/>
        <w:b/>
        <w:i w:val="0"/>
        <w:sz w:val="24"/>
      </w:rPr>
    </w:lvl>
    <w:lvl w:ilvl="4">
      <w:start w:val="1"/>
      <w:numFmt w:val="decimal"/>
      <w:lvlText w:val="%1.%2.%3.%4.%5"/>
      <w:lvlJc w:val="left"/>
      <w:pPr>
        <w:tabs>
          <w:tab w:val="left" w:pos="2781"/>
        </w:tabs>
        <w:ind w:left="2551" w:hanging="850"/>
      </w:pPr>
      <w:rPr>
        <w:rFonts w:cs="Times New Roman" w:hint="eastAsia"/>
      </w:rPr>
    </w:lvl>
    <w:lvl w:ilvl="5">
      <w:start w:val="1"/>
      <w:numFmt w:val="decimal"/>
      <w:lvlText w:val="%1.%2.%3.%4.%5.%6"/>
      <w:lvlJc w:val="left"/>
      <w:pPr>
        <w:tabs>
          <w:tab w:val="left" w:pos="3260"/>
        </w:tabs>
        <w:ind w:left="3260" w:hanging="1134"/>
      </w:pPr>
      <w:rPr>
        <w:rFonts w:cs="Times New Roman" w:hint="eastAsia"/>
      </w:rPr>
    </w:lvl>
    <w:lvl w:ilvl="6">
      <w:start w:val="1"/>
      <w:numFmt w:val="decimal"/>
      <w:lvlText w:val="%1.%2.%3.%4.%5.%6.%7"/>
      <w:lvlJc w:val="left"/>
      <w:pPr>
        <w:tabs>
          <w:tab w:val="left" w:pos="3991"/>
        </w:tabs>
        <w:ind w:left="3827" w:hanging="1276"/>
      </w:pPr>
      <w:rPr>
        <w:rFonts w:cs="Times New Roman" w:hint="eastAsia"/>
      </w:rPr>
    </w:lvl>
    <w:lvl w:ilvl="7">
      <w:start w:val="1"/>
      <w:numFmt w:val="decimal"/>
      <w:lvlText w:val="%1.%2.%3.%4.%5.%6.%7.%8"/>
      <w:lvlJc w:val="left"/>
      <w:pPr>
        <w:tabs>
          <w:tab w:val="left" w:pos="4776"/>
        </w:tabs>
        <w:ind w:left="4394" w:hanging="1418"/>
      </w:pPr>
      <w:rPr>
        <w:rFonts w:cs="Times New Roman" w:hint="eastAsia"/>
      </w:rPr>
    </w:lvl>
    <w:lvl w:ilvl="8">
      <w:start w:val="1"/>
      <w:numFmt w:val="decimal"/>
      <w:lvlText w:val="%1.%2.%3.%4.%5.%6.%7.%8.%9"/>
      <w:lvlJc w:val="left"/>
      <w:pPr>
        <w:tabs>
          <w:tab w:val="left" w:pos="5202"/>
        </w:tabs>
        <w:ind w:left="5102" w:hanging="1700"/>
      </w:pPr>
      <w:rPr>
        <w:rFonts w:cs="Times New Roman" w:hint="eastAsia"/>
      </w:rPr>
    </w:lvl>
  </w:abstractNum>
  <w:num w:numId="1" w16cid:durableId="76168697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embedSystemFonts/>
  <w:proofState w:spelling="clean" w:grammar="clean"/>
  <w:defaultTabStop w:val="420"/>
  <w:drawingGridVerticalSpacing w:val="156"/>
  <w:noPunctuationKerning/>
  <w:characterSpacingControl w:val="compressPunctuation"/>
  <w:footnotePr>
    <w:numFmt w:val="decimalEnclosedCircleChinese"/>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ommondata" w:val="eyJoZGlkIjoiODEzOGUxYWQ0NDVjOTZmMTE3YmFlNThlZjBhMWNlNjAifQ=="/>
  </w:docVars>
  <w:rsids>
    <w:rsidRoot w:val="519D5C5A"/>
    <w:rsid w:val="0021196A"/>
    <w:rsid w:val="0025099C"/>
    <w:rsid w:val="00494EEB"/>
    <w:rsid w:val="009E7F11"/>
    <w:rsid w:val="00B03C6A"/>
    <w:rsid w:val="06193101"/>
    <w:rsid w:val="06CE08C2"/>
    <w:rsid w:val="0764271A"/>
    <w:rsid w:val="08C21B50"/>
    <w:rsid w:val="0A20501F"/>
    <w:rsid w:val="0F2F0CF7"/>
    <w:rsid w:val="114809B7"/>
    <w:rsid w:val="131D034D"/>
    <w:rsid w:val="135A1D9E"/>
    <w:rsid w:val="1C2D434E"/>
    <w:rsid w:val="1C47468D"/>
    <w:rsid w:val="1D173D75"/>
    <w:rsid w:val="1D440B6D"/>
    <w:rsid w:val="1DC1314D"/>
    <w:rsid w:val="204E2A69"/>
    <w:rsid w:val="230A1F70"/>
    <w:rsid w:val="25627E42"/>
    <w:rsid w:val="28F9286B"/>
    <w:rsid w:val="2B1C4F36"/>
    <w:rsid w:val="326E7E26"/>
    <w:rsid w:val="35CD57AB"/>
    <w:rsid w:val="37D50947"/>
    <w:rsid w:val="3FC72668"/>
    <w:rsid w:val="40632F94"/>
    <w:rsid w:val="42060B95"/>
    <w:rsid w:val="42D9753D"/>
    <w:rsid w:val="42E26BA3"/>
    <w:rsid w:val="435734CA"/>
    <w:rsid w:val="43B03699"/>
    <w:rsid w:val="45F23791"/>
    <w:rsid w:val="46607F75"/>
    <w:rsid w:val="48CC705C"/>
    <w:rsid w:val="491D5CAA"/>
    <w:rsid w:val="49593FE0"/>
    <w:rsid w:val="49940662"/>
    <w:rsid w:val="49B605D8"/>
    <w:rsid w:val="4BE71A50"/>
    <w:rsid w:val="4E2C5465"/>
    <w:rsid w:val="519D5C5A"/>
    <w:rsid w:val="51AE6B08"/>
    <w:rsid w:val="548A4B3B"/>
    <w:rsid w:val="58D14B28"/>
    <w:rsid w:val="5A105AE3"/>
    <w:rsid w:val="5DC54669"/>
    <w:rsid w:val="5F344A9B"/>
    <w:rsid w:val="62CF1BD7"/>
    <w:rsid w:val="63D511F7"/>
    <w:rsid w:val="63FE9367"/>
    <w:rsid w:val="64BD144D"/>
    <w:rsid w:val="6A55134B"/>
    <w:rsid w:val="6A902328"/>
    <w:rsid w:val="6AA54025"/>
    <w:rsid w:val="6B9D2F4E"/>
    <w:rsid w:val="6C4909E0"/>
    <w:rsid w:val="6D172443"/>
    <w:rsid w:val="6F40256E"/>
    <w:rsid w:val="71C213C9"/>
    <w:rsid w:val="72437AEA"/>
    <w:rsid w:val="74E52A1A"/>
    <w:rsid w:val="76297DA3"/>
    <w:rsid w:val="78D418E5"/>
    <w:rsid w:val="7ACE4ED2"/>
    <w:rsid w:val="7B130B37"/>
    <w:rsid w:val="7F90756D"/>
    <w:rsid w:val="EFFFB73C"/>
    <w:rsid w:val="F7FD8BE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A39DA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qFormat="1"/>
    <w:lsdException w:name="annotation text" w:qFormat="1"/>
    <w:lsdException w:name="header" w:uiPriority="99" w:unhideWhenUsed="1" w:qFormat="1"/>
    <w:lsdException w:name="footer" w:uiPriority="99" w:unhideWhenUsed="1" w:qFormat="1"/>
    <w:lsdException w:name="caption" w:semiHidden="1" w:unhideWhenUsed="1" w:qFormat="1"/>
    <w:lsdException w:name="footnote reference" w:qFormat="1"/>
    <w:lsdException w:name="Title" w:qFormat="1"/>
    <w:lsdException w:name="Default Paragraph Font" w:semiHidden="1" w:qFormat="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Web)" w:qFormat="1"/>
    <w:lsdException w:name="Normal Table" w:semiHidden="1" w:unhideWhenUsed="1" w:qFormat="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59" w:qFormat="1"/>
    <w:lsdException w:name="Table Theme" w:semiHidden="1" w:unhideWhenUsed="1"/>
    <w:lsdException w:name="Placeholder Text" w:semiHidden="1" w:uiPriority="99" w:unhideWhenUsed="1"/>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semiHidden="1" w:uiPriority="99" w:unhideWhenUsed="1"/>
    <w:lsdException w:name="Quote" w:semiHidden="1" w:uiPriority="99" w:unhideWhenUsed="1"/>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rFonts w:ascii="Calibri" w:hAnsi="Calibri"/>
      <w:kern w:val="2"/>
      <w:sz w:val="21"/>
      <w:szCs w:val="22"/>
    </w:rPr>
  </w:style>
  <w:style w:type="paragraph" w:styleId="1">
    <w:name w:val="heading 1"/>
    <w:basedOn w:val="a"/>
    <w:next w:val="a"/>
    <w:link w:val="10"/>
    <w:autoRedefine/>
    <w:qFormat/>
    <w:pPr>
      <w:numPr>
        <w:numId w:val="1"/>
      </w:numPr>
      <w:adjustRightInd w:val="0"/>
      <w:snapToGrid w:val="0"/>
      <w:spacing w:after="120" w:line="240" w:lineRule="atLeast"/>
      <w:jc w:val="center"/>
      <w:outlineLvl w:val="0"/>
    </w:pPr>
    <w:rPr>
      <w:rFonts w:ascii="Times New Roman" w:hAnsi="Times New Roman"/>
      <w:b/>
      <w:bCs/>
      <w:kern w:val="44"/>
      <w:sz w:val="28"/>
      <w:szCs w:val="44"/>
    </w:rPr>
  </w:style>
  <w:style w:type="paragraph" w:styleId="2">
    <w:name w:val="heading 2"/>
    <w:basedOn w:val="a"/>
    <w:next w:val="a"/>
    <w:semiHidden/>
    <w:unhideWhenUsed/>
    <w:qFormat/>
    <w:pPr>
      <w:keepNext/>
      <w:keepLines/>
      <w:numPr>
        <w:ilvl w:val="1"/>
        <w:numId w:val="1"/>
      </w:numPr>
      <w:spacing w:before="260" w:after="260" w:line="413" w:lineRule="auto"/>
      <w:outlineLvl w:val="1"/>
    </w:pPr>
    <w:rPr>
      <w:rFonts w:ascii="Arial" w:eastAsia="黑体" w:hAnsi="Arial"/>
      <w:b/>
      <w:sz w:val="32"/>
    </w:rPr>
  </w:style>
  <w:style w:type="paragraph" w:styleId="3">
    <w:name w:val="heading 3"/>
    <w:basedOn w:val="a"/>
    <w:next w:val="a"/>
    <w:autoRedefine/>
    <w:semiHidden/>
    <w:unhideWhenUsed/>
    <w:qFormat/>
    <w:pPr>
      <w:keepNext/>
      <w:keepLines/>
      <w:numPr>
        <w:ilvl w:val="2"/>
        <w:numId w:val="1"/>
      </w:numPr>
      <w:spacing w:before="260" w:after="260" w:line="413" w:lineRule="auto"/>
      <w:outlineLvl w:val="2"/>
    </w:pPr>
    <w:rPr>
      <w:b/>
      <w:sz w:val="32"/>
    </w:rPr>
  </w:style>
  <w:style w:type="paragraph" w:styleId="4">
    <w:name w:val="heading 4"/>
    <w:basedOn w:val="a"/>
    <w:next w:val="a"/>
    <w:autoRedefine/>
    <w:semiHidden/>
    <w:unhideWhenUsed/>
    <w:qFormat/>
    <w:pPr>
      <w:spacing w:beforeAutospacing="1" w:afterAutospacing="1"/>
      <w:jc w:val="left"/>
      <w:outlineLvl w:val="3"/>
    </w:pPr>
    <w:rPr>
      <w:rFonts w:ascii="宋体" w:hAnsi="宋体" w:hint="eastAsia"/>
      <w:b/>
      <w:bCs/>
      <w:kern w:val="0"/>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annotation text"/>
    <w:basedOn w:val="a"/>
    <w:qFormat/>
    <w:pPr>
      <w:jc w:val="left"/>
    </w:pPr>
  </w:style>
  <w:style w:type="paragraph" w:styleId="a4">
    <w:name w:val="footer"/>
    <w:basedOn w:val="a"/>
    <w:autoRedefine/>
    <w:uiPriority w:val="99"/>
    <w:unhideWhenUsed/>
    <w:qFormat/>
    <w:pPr>
      <w:tabs>
        <w:tab w:val="center" w:pos="4153"/>
        <w:tab w:val="right" w:pos="8306"/>
      </w:tabs>
      <w:snapToGrid w:val="0"/>
      <w:jc w:val="left"/>
    </w:pPr>
    <w:rPr>
      <w:sz w:val="18"/>
      <w:szCs w:val="18"/>
    </w:rPr>
  </w:style>
  <w:style w:type="paragraph" w:styleId="a5">
    <w:name w:val="header"/>
    <w:basedOn w:val="a"/>
    <w:autoRedefine/>
    <w:uiPriority w:val="99"/>
    <w:unhideWhenUsed/>
    <w:qFormat/>
    <w:pPr>
      <w:pBdr>
        <w:bottom w:val="single" w:sz="6" w:space="1" w:color="auto"/>
      </w:pBdr>
      <w:tabs>
        <w:tab w:val="center" w:pos="4153"/>
        <w:tab w:val="right" w:pos="8306"/>
      </w:tabs>
      <w:snapToGrid w:val="0"/>
      <w:jc w:val="center"/>
    </w:pPr>
    <w:rPr>
      <w:sz w:val="18"/>
      <w:szCs w:val="18"/>
    </w:rPr>
  </w:style>
  <w:style w:type="paragraph" w:styleId="a6">
    <w:name w:val="footnote text"/>
    <w:basedOn w:val="a"/>
    <w:autoRedefine/>
    <w:qFormat/>
    <w:pPr>
      <w:snapToGrid w:val="0"/>
      <w:jc w:val="left"/>
    </w:pPr>
    <w:rPr>
      <w:sz w:val="18"/>
    </w:rPr>
  </w:style>
  <w:style w:type="paragraph" w:styleId="a7">
    <w:name w:val="Normal (Web)"/>
    <w:basedOn w:val="a"/>
    <w:qFormat/>
    <w:pPr>
      <w:spacing w:beforeAutospacing="1" w:afterAutospacing="1"/>
      <w:jc w:val="left"/>
    </w:pPr>
    <w:rPr>
      <w:kern w:val="0"/>
      <w:sz w:val="24"/>
    </w:rPr>
  </w:style>
  <w:style w:type="table" w:styleId="a8">
    <w:name w:val="Table Grid"/>
    <w:basedOn w:val="a1"/>
    <w:autoRedefine/>
    <w:uiPriority w:val="59"/>
    <w:qFormat/>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styleId="a9">
    <w:name w:val="footnote reference"/>
    <w:basedOn w:val="a0"/>
    <w:autoRedefine/>
    <w:qFormat/>
    <w:rPr>
      <w:vertAlign w:val="superscript"/>
    </w:rPr>
  </w:style>
  <w:style w:type="character" w:customStyle="1" w:styleId="10">
    <w:name w:val="标题 1 字符"/>
    <w:link w:val="1"/>
    <w:uiPriority w:val="99"/>
    <w:qFormat/>
    <w:locked/>
    <w:rPr>
      <w:rFonts w:ascii="Times New Roman" w:eastAsia="宋体" w:hAnsi="Times New Roman" w:cs="Times New Roman"/>
      <w:b/>
      <w:bCs/>
      <w:kern w:val="44"/>
      <w:sz w:val="28"/>
      <w:szCs w:val="44"/>
    </w:rPr>
  </w:style>
  <w:style w:type="character" w:customStyle="1" w:styleId="sect2title1">
    <w:name w:val="sect2title1"/>
    <w:basedOn w:val="a0"/>
    <w:autoRedefine/>
    <w:qFormat/>
    <w:rPr>
      <w:rFonts w:ascii="微软雅黑" w:eastAsia="微软雅黑" w:hAnsi="微软雅黑" w:hint="eastAsia"/>
      <w:b/>
      <w:bCs/>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5</Pages>
  <Words>1017</Words>
  <Characters>1039</Characters>
  <Application>Microsoft Office Word</Application>
  <DocSecurity>4</DocSecurity>
  <Lines>69</Lines>
  <Paragraphs>55</Paragraphs>
  <ScaleCrop>false</ScaleCrop>
  <Company/>
  <LinksUpToDate>false</LinksUpToDate>
  <CharactersWithSpaces>2001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Grandall-006</dc:creator>
  <cp:lastModifiedBy>cong cao</cp:lastModifiedBy>
  <cp:revision>2</cp:revision>
  <dcterms:created xsi:type="dcterms:W3CDTF">2026-02-15T14:52:00Z</dcterms:created>
  <dcterms:modified xsi:type="dcterms:W3CDTF">2026-02-15T14:52:00Z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2052-12.1.0.24034</vt:lpwstr>
  </property>
  <property fmtid="{D5CDD505-2E9C-101B-9397-08002B2CF9AE}" pid="3" name="ICV">
    <vt:lpwstr>96B97FEAD41D49EB8093F53DB15683BD_13</vt:lpwstr>
  </property>
  <property fmtid="{D5CDD505-2E9C-101B-9397-08002B2CF9AE}" pid="4" name="KSOTemplateDocerSaveRecord">
    <vt:lpwstr>eyJoZGlkIjoiODEzOGUxYWQ0NDVjOTZmMTE3YmFlNThlZjBhMWNlNjAiLCJ1c2VySWQiOiI0NTgwNjAwNzAifQ==</vt:lpwstr>
  </property>
</Properties>
</file>