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趋势动物产品用户手册</w:t>
      </w:r>
    </w:p>
    <w:p>
      <w:r>
        <w:t>公开资料图解版 V1.2 · 编写日期：2026-10-17</w:t>
      </w:r>
    </w:p>
    <w:p>
      <w:r>
        <w:t>适用对象：初次接触趋势动物，希望了解页面字段、比较资产或房产趋势的用户。</w:t>
      </w:r>
    </w:p>
    <w:p>
      <w:r>
        <w:t>本手册为非官方使用指南，依据公开说明及历史界面截图编写，未在小程序内逐项实测。金融资产界面样本日期为 2025-08-05，房产界面样本日期为 2026-08-17；当前入口、权限和交互以实际页面为准。文中的操作顺序属于建议阅读流程，不代表已验证的逐键操作。</w:t>
      </w:r>
    </w:p>
    <w:p>
      <w:r>
        <w:t>图示说明：本版共12张图，包含4张历史真实截图和8张教学示意图。每图均注明类型；教学图中的假设数据不代表真实行情。</w:t>
      </w:r>
    </w:p>
    <w:p>
      <w:r>
        <w:t>相关文档：趋势动物产品报告与 RiskHot 设计借鉴。</w:t>
      </w:r>
    </w:p>
    <w:p>
      <w:pPr>
        <w:pStyle w:val="Heading1"/>
      </w:pPr>
      <w:r>
        <w:t>1 趋势动物可以帮助你做什么</w:t>
      </w:r>
    </w:p>
    <w:p>
      <w:r>
        <w:t>公开资料中的产品名称为“趋势动物 Pro”。它将不同观察对象的趋势状态、相对表现和历史变化集中呈现，帮助用户回答三个问题：</w:t>
      </w:r>
    </w:p>
    <w:p>
      <w:r>
        <w:t xml:space="preserve">1. </w:t>
      </w:r>
      <w:r>
        <w:rPr>
          <w:b/>
        </w:rPr>
        <w:t>它现在处于什么趋势状态？</w:t>
      </w:r>
      <w:r>
        <w:t xml:space="preserve"> 通过“温度”了解上涨、横盘、下跌及其变化阶段。</w:t>
      </w:r>
    </w:p>
    <w:p>
      <w:r>
        <w:t xml:space="preserve">2. </w:t>
      </w:r>
      <w:r>
        <w:rPr>
          <w:b/>
        </w:rPr>
        <w:t>它在同组对象中表现如何？</w:t>
      </w:r>
      <w:r>
        <w:t xml:space="preserve"> 通过“相对强度”了解它相对于比较范围内其他对象的位置。</w:t>
      </w:r>
    </w:p>
    <w:p>
      <w:r>
        <w:t xml:space="preserve">3. </w:t>
      </w:r>
      <w:r>
        <w:rPr>
          <w:b/>
        </w:rPr>
        <w:t>它实际涨跌了多少？</w:t>
      </w:r>
      <w:r>
        <w:t xml:space="preserve"> 通过各周期涨跌幅、趋势曲线和基准线核对绝对表现。</w:t>
      </w:r>
    </w:p>
    <w:p>
      <w:r>
        <w:t>公开界面涉及金融资产和房产两类场景。金融资产列表可用于浏览大类、行业、个股及品种相关趋势；房产资料展示了城市、区域、板块、小区以及房产组合的观察方式。具体对象覆盖范围以当前版本为准。[S1][S2][S3]</w:t>
      </w:r>
    </w:p>
    <w:p>
      <w:pPr>
        <w:pStyle w:val="Heading1"/>
      </w:pPr>
      <w:r>
        <w:t>2 快速上手 先完整看懂一个对象</w:t>
      </w:r>
    </w:p>
    <w:p>
      <w:pPr>
        <w:pStyle w:val="Caption"/>
        <w:keepNext/>
      </w:pPr>
      <w:r>
        <w:t>图1  快速上手阅读流程  [教学示意图]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2534717"/>
            <wp:docPr id="1" name="Picture 1" descr="图1 教学示意图 快速上手阅读流程。建议阅读顺序，不代表产品实际菜单或点击步骤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34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建议阅读顺序，不代表产品实际菜单或点击步骤。</w:t>
      </w:r>
    </w:p>
    <w:p>
      <w:pPr>
        <w:pStyle w:val="Heading2"/>
      </w:pPr>
      <w:r>
        <w:t>2.1 找到产品与观察对象</w:t>
      </w:r>
    </w:p>
    <w:p>
      <w:r>
        <w:t>可先在微信搜索“趋势动物”或“趋势动物 Pro”，核对产品名称及介绍后进入。本文未核实当前搜索结果、运营主体和登录流程；若无法确认入口，可从本文列出的主理人访谈及官方介绍线索进一步核对。</w:t>
      </w:r>
    </w:p>
    <w:p>
      <w:r>
        <w:t>进入后，按以下顺序阅读：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456"/>
        <w:gridCol w:w="4565"/>
      </w:tblGrid>
      <w:tr>
        <w:trPr>
          <w:cantSplit/>
          <w:tblHeader/>
        </w:trPr>
        <w:tc>
          <w:tcPr>
            <w:tcW w:type="dxa" w:w="1728"/>
            <w:vAlign w:val="center"/>
            <w:shd w:fill="E4EC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type="dxa" w:w="3456"/>
            <w:vAlign w:val="center"/>
            <w:shd w:fill="E4EC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你需要做的事</w:t>
            </w:r>
          </w:p>
        </w:tc>
        <w:tc>
          <w:tcPr>
            <w:tcW w:type="dxa" w:w="4565"/>
            <w:vAlign w:val="center"/>
            <w:shd w:fill="E4EC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完成后的判断依据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明确要观察金融资产还是房产</w:t>
            </w:r>
          </w:p>
        </w:tc>
        <w:tc>
          <w:tcPr>
            <w:tcW w:type="dxa" w:w="45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当前类别与自己的问题一致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找到具体对象；金融资产历史界面有搜索栏</w:t>
            </w:r>
          </w:p>
        </w:tc>
        <w:tc>
          <w:tcPr>
            <w:tcW w:type="dxa" w:w="4565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名称、所属类别正确，避免把组合与单一品种混为一谈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查看日期、更新时间、币种和统计周期</w:t>
            </w:r>
          </w:p>
        </w:tc>
        <w:tc>
          <w:tcPr>
            <w:tcW w:type="dxa" w:w="45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知道这条数据对应哪个时点和口径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阅读趋势温度</w:t>
            </w:r>
          </w:p>
        </w:tc>
        <w:tc>
          <w:tcPr>
            <w:tcW w:type="dxa" w:w="4565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知道页面给出的趋势状态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阅读相对强度及其比较范围</w:t>
            </w:r>
          </w:p>
        </w:tc>
        <w:tc>
          <w:tcPr>
            <w:tcW w:type="dxa" w:w="45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知道是在与谁比较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56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核对涨跌幅，再看趋势图</w:t>
            </w:r>
          </w:p>
        </w:tc>
        <w:tc>
          <w:tcPr>
            <w:tcW w:type="dxa" w:w="4565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分清实际上涨、下跌与相对领先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用一句话记录结论</w:t>
            </w:r>
          </w:p>
        </w:tc>
        <w:tc>
          <w:tcPr>
            <w:tcW w:type="dxa" w:w="45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同时写出状态、绝对变化、相对表现和日期</w:t>
            </w:r>
          </w:p>
        </w:tc>
      </w:tr>
    </w:tbl>
    <w:p>
      <w:pPr>
        <w:spacing w:after="20"/>
      </w:pPr>
    </w:p>
    <w:p>
      <w:r/>
      <w:r>
        <w:rPr>
          <w:b/>
        </w:rPr>
        <w:t>建议记录句式：</w:t>
      </w:r>
      <w:r>
        <w:t>“截至____，对象____的趋势温度为____；在____期间变化____；相对强度____，比较范围为____；同期基准变化____。”</w:t>
      </w:r>
    </w:p>
    <w:p>
      <w:r>
        <w:t>不要只记录“强度很高”或“已经变热”：它们缺少时间、比较范围和实际变化，难以用于后续复核。</w:t>
      </w:r>
    </w:p>
    <w:p>
      <w:pPr>
        <w:pStyle w:val="Heading2"/>
      </w:pPr>
      <w:r>
        <w:t>2.2 第一次使用时优先核对什么</w:t>
      </w:r>
    </w:p>
    <w:p>
      <w:pPr>
        <w:pStyle w:val="ListBullet"/>
      </w:pPr>
      <w:r>
        <w:t>列表里的“价格”属于单一资产、指数还是组合？不要假设所有数值都可以直接交易。</w:t>
      </w:r>
    </w:p>
    <w:p>
      <w:pPr>
        <w:pStyle w:val="ListBullet"/>
      </w:pPr>
      <w:r>
        <w:t>涨跌幅是近一周、近一月、近一年还是年初至今？不要把不同周期并排当作同一指标。</w:t>
      </w:r>
    </w:p>
    <w:p>
      <w:pPr>
        <w:pStyle w:val="ListBullet"/>
      </w:pPr>
      <w:r>
        <w:t>强度是“金融资产内排名”还是某一房产组合范围内的表现？范围不同，数字不可直接混比。</w:t>
      </w:r>
    </w:p>
    <w:p>
      <w:pPr>
        <w:pStyle w:val="ListBullet"/>
      </w:pPr>
      <w:r>
        <w:t>页面日期、单行更新时间、图表区间是否一致？一张页面上的数据未必全部对应同一刷新时刻。</w:t>
      </w:r>
    </w:p>
    <w:p>
      <w:pPr>
        <w:pStyle w:val="Heading1"/>
      </w:pPr>
      <w:r>
        <w:t>3 金融资产列表怎么读</w:t>
      </w:r>
    </w:p>
    <w:p>
      <w:r>
        <w:t>以下字段来自 2025-08-05 的金融资产公开截图，当前版本可能有所调整。[S2]</w:t>
      </w:r>
    </w:p>
    <w:p>
      <w:r>
        <w:br w:type="page"/>
      </w:r>
    </w:p>
    <w:p>
      <w:pPr>
        <w:pStyle w:val="Caption"/>
        <w:keepNext/>
      </w:pPr>
      <w:r>
        <w:t>图2  金融资产列表全貌  [历史真实截图]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298891" cy="6492238"/>
            <wp:docPr id="2" name="Picture 2" descr="图2 历史真实截图 金融资产列表全貌。2025-08-05；来源 S2。原图未改绘，细小字段可通过原图链接放大查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8891" cy="6492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2025-08-05；来源 S2。原图未改绘，细小字段可通过原图链接放大查看。 </w:t>
      </w:r>
      <w:hyperlink r:id="rId13">
        <w:r>
          <w:rPr>
            <w:color w:val="245780"/>
          </w:rPr>
          <w:t>查看原图</w:t>
        </w:r>
      </w:hyperlink>
      <w:r/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456"/>
        <w:gridCol w:w="4565"/>
      </w:tblGrid>
      <w:tr>
        <w:trPr>
          <w:cantSplit/>
          <w:tblHeader/>
        </w:trPr>
        <w:tc>
          <w:tcPr>
            <w:tcW w:type="dxa" w:w="1728"/>
            <w:vAlign w:val="center"/>
            <w:shd w:fill="E4EC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页面区域或字段</w:t>
            </w:r>
          </w:p>
        </w:tc>
        <w:tc>
          <w:tcPr>
            <w:tcW w:type="dxa" w:w="3456"/>
            <w:vAlign w:val="center"/>
            <w:shd w:fill="E4EC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公开截图中的内容</w:t>
            </w:r>
          </w:p>
        </w:tc>
        <w:tc>
          <w:tcPr>
            <w:tcW w:type="dxa" w:w="4565"/>
            <w:vAlign w:val="center"/>
            <w:shd w:fill="E4EC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使用时怎么理解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类别入口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顶部显示“金融资产”，带下拉标记</w:t>
            </w:r>
          </w:p>
        </w:tc>
        <w:tc>
          <w:tcPr>
            <w:tcW w:type="dxa" w:w="45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先确认当前观察范围；可切换项需以实际界面为准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搜索栏</w:t>
            </w:r>
          </w:p>
        </w:tc>
        <w:tc>
          <w:tcPr>
            <w:tcW w:type="dxa" w:w="3456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“搜索大类、行业、个股、品种的趋势”</w:t>
            </w:r>
          </w:p>
        </w:tc>
        <w:tc>
          <w:tcPr>
            <w:tcW w:type="dxa" w:w="4565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可尝试用对象名称定位；未验证模糊匹配及代码搜索规则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温度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趋势状态，副标题出现“右侧天数”</w:t>
            </w:r>
          </w:p>
        </w:tc>
        <w:tc>
          <w:tcPr>
            <w:tcW w:type="dxa" w:w="45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先读状态；天数的起算与重置规则未确认，不自行解释为连续上涨天数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品种</w:t>
            </w:r>
          </w:p>
        </w:tc>
        <w:tc>
          <w:tcPr>
            <w:tcW w:type="dxa" w:w="3456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名称，副标题出现“流通值排序”</w:t>
            </w:r>
          </w:p>
        </w:tc>
        <w:tc>
          <w:tcPr>
            <w:tcW w:type="dxa" w:w="4565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确认对象身份；排序口径与可选项以实际说明为准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价格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数值及 CNY 标记</w:t>
            </w:r>
          </w:p>
        </w:tc>
        <w:tc>
          <w:tcPr>
            <w:tcW w:type="dxa" w:w="45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先确认币种和对象性质；不能假定组合数值为可成交报价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YTD涨幅</w:t>
            </w:r>
          </w:p>
        </w:tc>
        <w:tc>
          <w:tcPr>
            <w:tcW w:type="dxa" w:w="3456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年初至今的变化百分比</w:t>
            </w:r>
          </w:p>
        </w:tc>
        <w:tc>
          <w:tcPr>
            <w:tcW w:type="dxa" w:w="4565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YTD 表示年初至今，不等于滚动近一年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YTD成交额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与涨幅同列的辅助信息</w:t>
            </w:r>
          </w:p>
        </w:tc>
        <w:tc>
          <w:tcPr>
            <w:tcW w:type="dxa" w:w="45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与涨跌幅分开阅读；未公开确认其汇总口径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强度</w:t>
            </w:r>
          </w:p>
        </w:tc>
        <w:tc>
          <w:tcPr>
            <w:tcW w:type="dxa" w:w="3456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数值，副标题“金融资产内排名”</w:t>
            </w:r>
          </w:p>
        </w:tc>
        <w:tc>
          <w:tcPr>
            <w:tcW w:type="dxa" w:w="4565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在该范围内理解相对位置，不能当作未来上涨概率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更新提示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如“4小时前更新”</w:t>
            </w:r>
          </w:p>
        </w:tc>
        <w:tc>
          <w:tcPr>
            <w:tcW w:type="dxa" w:w="45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判断数据新鲜度；不同对象可能更新时间不同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收藏</w:t>
            </w:r>
          </w:p>
        </w:tc>
        <w:tc>
          <w:tcPr>
            <w:tcW w:type="dxa" w:w="3456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行内星标，以及“已收藏”入口</w:t>
            </w:r>
          </w:p>
        </w:tc>
        <w:tc>
          <w:tcPr>
            <w:tcW w:type="dxa" w:w="4565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界面显示收藏入口；添加、取消、同步与数量限制尚未实测</w:t>
            </w:r>
          </w:p>
        </w:tc>
      </w:tr>
    </w:tbl>
    <w:p>
      <w:pPr>
        <w:spacing w:after="20"/>
      </w:pPr>
    </w:p>
    <w:p>
      <w:r>
        <w:t>截图还展示“大类资产”分组，包括港股、REITs、加密币、A股、可转债、全球股指、ETF基金、美股、商品期货、汇率、现金、全球房产、债券及股指期权。这是历史样本的覆盖情况，不是当前完整目录或权限承诺。</w:t>
      </w:r>
    </w:p>
    <w:p>
      <w:pPr>
        <w:pStyle w:val="Caption"/>
        <w:keepNext/>
      </w:pPr>
      <w:r>
        <w:t>图3  金融资产字段阅读图  [教学示意图]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2534717"/>
            <wp:docPr id="3" name="Picture 3" descr="图3 教学示意图 金融资产字段阅读图。按历史页面列名整理，仅解释字段用途，不代表实际界面布局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34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按历史页面列名整理，仅解释字段用途，不代表实际界面布局。</w:t>
      </w:r>
    </w:p>
    <w:p>
      <w:pPr>
        <w:pStyle w:val="Heading2"/>
      </w:pPr>
      <w:r>
        <w:t>建议的浏览顺序</w:t>
      </w:r>
    </w:p>
    <w:p>
      <w:r>
        <w:t>1. 先看类别与对象名称，再看当前排序字段。</w:t>
      </w:r>
    </w:p>
    <w:p>
      <w:r>
        <w:t>2. 选择少量关心的对象，逐一核对温度、强度和同周期涨跌幅。</w:t>
      </w:r>
    </w:p>
    <w:p>
      <w:r>
        <w:t>3. 如需排序或收藏，使用实际页面提供的控件，并观察操作后列表如何变化。</w:t>
      </w:r>
    </w:p>
    <w:p>
      <w:r>
        <w:t>4. 进一步查看对象趋势时，寻找当前版本的详情或趋势图入口；本文不规定未经验证的点击位置。</w:t>
      </w:r>
    </w:p>
    <w:p>
      <w:r/>
      <w:r>
        <w:rPr>
          <w:b/>
        </w:rPr>
        <w:t>箭头怎么读？</w:t>
      </w:r>
      <w:r>
        <w:t xml:space="preserve"> 截图中强度旁存在箭头，但其精确含义和计算窗口未确认。不能据此认定“明天上涨”或“排名每天上升”。同样，不要仅凭颜色推断涨跌，优先阅读文字和正负号。</w:t>
      </w:r>
    </w:p>
    <w:p>
      <w:pPr>
        <w:pStyle w:val="Heading1"/>
      </w:pPr>
      <w:r>
        <w:t>4 七档趋势温度怎么理解</w:t>
      </w:r>
    </w:p>
    <w:p>
      <w:r>
        <w:t>温度用于描述趋势状态。下表依据产品公开说明图整理，保留其方向含义，不引申为操作指令。[S1]</w:t>
      </w:r>
    </w:p>
    <w:p>
      <w:pPr>
        <w:pStyle w:val="Caption"/>
        <w:keepNext/>
      </w:pPr>
      <w:r>
        <w:t>图4  七档温度说明  [教学示意图]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2534717"/>
            <wp:docPr id="4" name="Picture 4" descr="图4 教学示意图 七档温度说明。依据 S1 的公开定义绘制；不是收益刻度或买卖信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34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依据 S1 的公开定义绘制；不是收益刻度或买卖信号。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456"/>
        <w:gridCol w:w="4565"/>
      </w:tblGrid>
      <w:tr>
        <w:trPr>
          <w:cantSplit/>
          <w:tblHeader/>
        </w:trPr>
        <w:tc>
          <w:tcPr>
            <w:tcW w:type="dxa" w:w="1728"/>
            <w:vAlign w:val="center"/>
            <w:shd w:fill="E4EC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温度</w:t>
            </w:r>
          </w:p>
        </w:tc>
        <w:tc>
          <w:tcPr>
            <w:tcW w:type="dxa" w:w="3456"/>
            <w:vAlign w:val="center"/>
            <w:shd w:fill="E4EC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公开说明的含义</w:t>
            </w:r>
          </w:p>
        </w:tc>
        <w:tc>
          <w:tcPr>
            <w:tcW w:type="dxa" w:w="4565"/>
            <w:vAlign w:val="center"/>
            <w:shd w:fill="E4EC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阅读重点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冻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趋势快速下跌，波动放大</w:t>
            </w:r>
          </w:p>
        </w:tc>
        <w:tc>
          <w:tcPr>
            <w:tcW w:type="dxa" w:w="45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同时注意下行和波动程度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寒</w:t>
            </w:r>
          </w:p>
        </w:tc>
        <w:tc>
          <w:tcPr>
            <w:tcW w:type="dxa" w:w="3456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趋势处于下跌行情</w:t>
            </w:r>
          </w:p>
        </w:tc>
        <w:tc>
          <w:tcPr>
            <w:tcW w:type="dxa" w:w="4565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核对下跌持续情况及实际跌幅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凉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趋势盘整，出现可能启动下跌的迹象</w:t>
            </w:r>
          </w:p>
        </w:tc>
        <w:tc>
          <w:tcPr>
            <w:tcW w:type="dxa" w:w="45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表示状态特征，不保证随后必跌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平</w:t>
            </w:r>
          </w:p>
        </w:tc>
        <w:tc>
          <w:tcPr>
            <w:tcW w:type="dxa" w:w="3456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趋势横盘</w:t>
            </w:r>
          </w:p>
        </w:tc>
        <w:tc>
          <w:tcPr>
            <w:tcW w:type="dxa" w:w="4565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横盘不代表价格没有波动，也不代表长期收益为零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温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趋势盘整，出现可能启动上涨的迹象</w:t>
            </w:r>
          </w:p>
        </w:tc>
        <w:tc>
          <w:tcPr>
            <w:tcW w:type="dxa" w:w="45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表示状态特征，不保证随后必涨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热</w:t>
            </w:r>
          </w:p>
        </w:tc>
        <w:tc>
          <w:tcPr>
            <w:tcW w:type="dxa" w:w="3456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趋势处于上涨行情</w:t>
            </w:r>
          </w:p>
        </w:tc>
        <w:tc>
          <w:tcPr>
            <w:tcW w:type="dxa" w:w="4565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结合观察周期和累计涨跌幅阅读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沸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趋势快速拉升，波动放大</w:t>
            </w:r>
          </w:p>
        </w:tc>
        <w:tc>
          <w:tcPr>
            <w:tcW w:type="dxa" w:w="45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同时注意上行和波动程度</w:t>
            </w:r>
          </w:p>
        </w:tc>
      </w:tr>
    </w:tbl>
    <w:p>
      <w:pPr>
        <w:spacing w:after="20"/>
      </w:pPr>
    </w:p>
    <w:p>
      <w:r>
        <w:t>温度的具体公式、阈值、确认机制和更新节奏未在本次资料中得到完整验证，因此不应自行换算成涨跌百分比。例如，“热”不等于“已经上涨10%”，“平”也不等于“近一年涨幅为0”。</w:t>
      </w:r>
    </w:p>
    <w:p>
      <w:r>
        <w:t>同一对象的当前温度与长周期收益可以不同：近期趋于横盘，并不意味着此前一年的跌幅已经收回。</w:t>
      </w:r>
    </w:p>
    <w:p>
      <w:pPr>
        <w:pStyle w:val="Heading1"/>
      </w:pPr>
      <w:r>
        <w:t>5 相对强度怎么理解</w:t>
      </w:r>
    </w:p>
    <w:p>
      <w:pPr>
        <w:pStyle w:val="Heading2"/>
      </w:pPr>
      <w:r>
        <w:t>5.1 数值回答的是“相对谁更强”</w:t>
      </w:r>
    </w:p>
    <w:p>
      <w:r>
        <w:t>公开说明使用 0—100 的相对强度表示近期在比较范围内的排名位置。数字越高，意味着在该范围内的相对表现越靠前；精确计算窗口、并列处理和完整公式未核实。[S1]</w:t>
      </w:r>
    </w:p>
    <w:p>
      <w:r>
        <w:t>例如，早期说明以“联洋板块相对强度80”解释为近期表现优于上海约80%的其他板块。这里的比较对象是上海板块，不能直接扩展为全国所有房产或所有金融资产。</w:t>
      </w:r>
    </w:p>
    <w:p>
      <w:pPr>
        <w:pStyle w:val="Caption"/>
        <w:keepNext/>
      </w:pPr>
      <w:r>
        <w:t>图5  相对强度与比较范围  [教学示意图]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2534717"/>
            <wp:docPr id="5" name="Picture 5" descr="图5 教学示意图 相对强度与比较范围。80为概念示例，依据 S1 的解释；不是实际行情或上涨概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34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80为概念示例，依据 S1 的解释；不是实际行情或上涨概率。</w:t>
      </w:r>
    </w:p>
    <w:p>
      <w:pPr>
        <w:pStyle w:val="Heading2"/>
      </w:pPr>
      <w:r>
        <w:t>5.2 强度高，为什么还能下跌</w:t>
      </w:r>
    </w:p>
    <w:p>
      <w:r>
        <w:t>因为“比别人好”和“自己上涨”是两回事。如果同组多数对象下跌更多，一个仍在下跌的对象也可能具有较高强度。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456"/>
        <w:gridCol w:w="4565"/>
      </w:tblGrid>
      <w:tr>
        <w:trPr>
          <w:cantSplit/>
          <w:tblHeader/>
        </w:trPr>
        <w:tc>
          <w:tcPr>
            <w:tcW w:type="dxa" w:w="1728"/>
            <w:vAlign w:val="center"/>
            <w:shd w:fill="E4EC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看到的组合</w:t>
            </w:r>
          </w:p>
        </w:tc>
        <w:tc>
          <w:tcPr>
            <w:tcW w:type="dxa" w:w="3456"/>
            <w:vAlign w:val="center"/>
            <w:shd w:fill="E4EC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可以形成的阅读结论</w:t>
            </w:r>
          </w:p>
        </w:tc>
        <w:tc>
          <w:tcPr>
            <w:tcW w:type="dxa" w:w="4565"/>
            <w:vAlign w:val="center"/>
            <w:shd w:fill="E4EC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不应直接推导的结论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高强度 + 正涨幅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该周期内上涨，且相对表现靠前</w:t>
            </w:r>
          </w:p>
        </w:tc>
        <w:tc>
          <w:tcPr>
            <w:tcW w:type="dxa" w:w="45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后续必然继续上涨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高强度 + 负涨幅</w:t>
            </w:r>
          </w:p>
        </w:tc>
        <w:tc>
          <w:tcPr>
            <w:tcW w:type="dxa" w:w="3456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该周期内仍下跌，但相对抗跌</w:t>
            </w:r>
          </w:p>
        </w:tc>
        <w:tc>
          <w:tcPr>
            <w:tcW w:type="dxa" w:w="4565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已经获得正收益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低强度 + 正涨幅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虽然上涨，但同组可能有更多对象涨得更好</w:t>
            </w:r>
          </w:p>
        </w:tc>
        <w:tc>
          <w:tcPr>
            <w:tcW w:type="dxa" w:w="45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该对象正在下跌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低强度 + 负涨幅</w:t>
            </w:r>
          </w:p>
        </w:tc>
        <w:tc>
          <w:tcPr>
            <w:tcW w:type="dxa" w:w="3456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绝对表现和相对位置都偏弱</w:t>
            </w:r>
          </w:p>
        </w:tc>
        <w:tc>
          <w:tcPr>
            <w:tcW w:type="dxa" w:w="4565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未来不会改善</w:t>
            </w:r>
          </w:p>
        </w:tc>
      </w:tr>
    </w:tbl>
    <w:p>
      <w:pPr>
        <w:spacing w:after="20"/>
      </w:pPr>
    </w:p>
    <w:p>
      <w:r>
        <w:t>该表是阅读原则。实际判断还须核对强度与涨跌幅的时间窗口是否一致；窗口不一致时，应分别描述，不能视为同周期验证。</w:t>
      </w:r>
    </w:p>
    <w:p>
      <w:r/>
      <w:r>
        <w:rPr>
          <w:b/>
        </w:rPr>
        <w:t>强度96不是96%的上涨概率，也不是上涨96%，更不是收益保证。</w:t>
      </w:r>
      <w:r/>
    </w:p>
    <w:p>
      <w:pPr>
        <w:pStyle w:val="Caption"/>
        <w:keepNext/>
      </w:pPr>
      <w:r>
        <w:t>图6  绝对涨跌与相对强度对照  [教学示意图]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2534717"/>
            <wp:docPr id="6" name="Picture 6" descr="图6 教学示意图 绝对涨跌与相对强度对照。用于区分两个维度，不设实际阈值；使用时须核对计算窗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34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用于区分两个维度，不设实际阈值；使用时须核对计算窗口。</w:t>
      </w:r>
    </w:p>
    <w:p>
      <w:pPr>
        <w:pStyle w:val="Heading1"/>
      </w:pPr>
      <w:r>
        <w:t>6 房产对象与房产组合怎么查看</w:t>
      </w:r>
    </w:p>
    <w:p>
      <w:pPr>
        <w:pStyle w:val="Heading2"/>
      </w:pPr>
      <w:r>
        <w:t>6.1 先确认层级</w:t>
      </w:r>
    </w:p>
    <w:p>
      <w:r>
        <w:t>早期公开介绍给出五级观察结构：全国 → 城市 → 行政区划 → 板块 → 楼盘，并介绍过按周更新的方式。这属于早期描述，不代表当前所有数据模块均按周更新。[S1]</w:t>
      </w:r>
    </w:p>
    <w:p>
      <w:r>
        <w:t>建议从较大范围了解背景，再缩小到自己关心的区域或对象。如果当前版本提供相应层级入口，可依次查看：</w:t>
      </w:r>
    </w:p>
    <w:p>
      <w:r>
        <w:t>1. 全国或城市：了解大范围趋势。</w:t>
      </w:r>
    </w:p>
    <w:p>
      <w:r>
        <w:t>2. 行政区或板块：判断城市内部差异。</w:t>
      </w:r>
    </w:p>
    <w:p>
      <w:r>
        <w:t>3. 具体楼盘或小区：检查目标对象自身表现。</w:t>
      </w:r>
    </w:p>
    <w:p>
      <w:r>
        <w:t>4. 房产组合：按页面实际提供的分组观察同类对象。</w:t>
      </w:r>
    </w:p>
    <w:p>
      <w:r>
        <w:t>2026-08-17 的截图展示了“房产组合 &gt; 上海组合 &gt; 上海老破小 &gt; 趋势图”的路径，以及上海面积段房价趋势。组合代表一组对象，不应直接替代某一套房的估值。[S3]</w:t>
      </w:r>
    </w:p>
    <w:p>
      <w:pPr>
        <w:pStyle w:val="Caption"/>
        <w:keepNext/>
      </w:pPr>
      <w:r>
        <w:t>图7  房产观察层级  [教学示意图]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2534717"/>
            <wp:docPr id="7" name="Picture 7" descr="图7 教学示意图 房产观察层级。依据 S1 早期层级说明绘制，不保证当前版本具有相同菜单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34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依据 S1 早期层级说明绘制，不保证当前版本具有相同菜单。</w:t>
      </w:r>
    </w:p>
    <w:p>
      <w:pPr>
        <w:pStyle w:val="Heading2"/>
      </w:pPr>
      <w:r>
        <w:t>6.2 单个房产对象页面重点看什么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456"/>
        <w:gridCol w:w="4565"/>
      </w:tblGrid>
      <w:tr>
        <w:trPr>
          <w:cantSplit/>
          <w:tblHeader/>
        </w:trPr>
        <w:tc>
          <w:tcPr>
            <w:tcW w:type="dxa" w:w="1728"/>
            <w:vAlign w:val="center"/>
            <w:shd w:fill="E4EC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信息</w:t>
            </w:r>
          </w:p>
        </w:tc>
        <w:tc>
          <w:tcPr>
            <w:tcW w:type="dxa" w:w="3456"/>
            <w:vAlign w:val="center"/>
            <w:shd w:fill="E4EC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作用</w:t>
            </w:r>
          </w:p>
        </w:tc>
        <w:tc>
          <w:tcPr>
            <w:tcW w:type="dxa" w:w="4565"/>
            <w:vAlign w:val="center"/>
            <w:shd w:fill="E4EC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需要核对的口径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对象名称与路径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确认所属城市、组合与层级</w:t>
            </w:r>
          </w:p>
        </w:tc>
        <w:tc>
          <w:tcPr>
            <w:tcW w:type="dxa" w:w="45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是否为自己想观察的对象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样本数量</w:t>
            </w:r>
          </w:p>
        </w:tc>
        <w:tc>
          <w:tcPr>
            <w:tcW w:type="dxa" w:w="3456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了解覆盖规模</w:t>
            </w:r>
          </w:p>
        </w:tc>
        <w:tc>
          <w:tcPr>
            <w:tcW w:type="dxa" w:w="4565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样本数量不代表每个样本权重相同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最新价格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查看页面提供的价格指标</w:t>
            </w:r>
          </w:p>
        </w:tc>
        <w:tc>
          <w:tcPr>
            <w:tcW w:type="dxa" w:w="45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币种、单位、构造方式；不能默认是成交价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租金收益率</w:t>
            </w:r>
          </w:p>
        </w:tc>
        <w:tc>
          <w:tcPr>
            <w:tcW w:type="dxa" w:w="3456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查看页面提供的租赁收益相关指标</w:t>
            </w:r>
          </w:p>
        </w:tc>
        <w:tc>
          <w:tcPr>
            <w:tcW w:type="dxa" w:w="4565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租金来源、费用扣除和计算方式未核实时，不等同于个人净回报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周、月、年变化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区分不同时间尺度</w:t>
            </w:r>
          </w:p>
        </w:tc>
        <w:tc>
          <w:tcPr>
            <w:tcW w:type="dxa" w:w="45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周期截止时间是否一致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年初至今涨幅</w:t>
            </w:r>
          </w:p>
        </w:tc>
        <w:tc>
          <w:tcPr>
            <w:tcW w:type="dxa" w:w="3456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查看当年以来累计变化</w:t>
            </w:r>
          </w:p>
        </w:tc>
        <w:tc>
          <w:tcPr>
            <w:tcW w:type="dxa" w:w="4565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与近一年分开阅读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温度与相对强度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观察状态和相对位置</w:t>
            </w:r>
          </w:p>
        </w:tc>
        <w:tc>
          <w:tcPr>
            <w:tcW w:type="dxa" w:w="45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强度比较范围、温度更新时间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趋势图和基准</w:t>
            </w:r>
          </w:p>
        </w:tc>
        <w:tc>
          <w:tcPr>
            <w:tcW w:type="dxa" w:w="3456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查看变化过程及对照表现</w:t>
            </w:r>
          </w:p>
        </w:tc>
        <w:tc>
          <w:tcPr>
            <w:tcW w:type="dxa" w:w="4565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起止日期、基准名称、累计变化口径</w:t>
            </w:r>
          </w:p>
        </w:tc>
      </w:tr>
    </w:tbl>
    <w:p>
      <w:pPr>
        <w:spacing w:after="20"/>
      </w:pPr>
    </w:p>
    <w:p>
      <w:r>
        <w:t>公开访谈描述过通过订单簿边际变化形成小区周度变化的做法。由此不能认定页面所有“价格”都是实际成交价格，也不能把组合价格当作即时可成交报价。[S3]</w:t>
      </w:r>
    </w:p>
    <w:p>
      <w:pPr>
        <w:pStyle w:val="Heading2"/>
      </w:pPr>
      <w:r>
        <w:t>6.3 面积段比较怎么读</w:t>
      </w:r>
    </w:p>
    <w:p>
      <w:r>
        <w:t>公开截图展示上海整体与多个面积段的近一年趋势，包括微型、小、中、中大、大及豪华面积段。阅读时：</w:t>
      </w:r>
    </w:p>
    <w:p>
      <w:r>
        <w:t>1. 先看面积段的边界，不只看“小户型”等简称。</w:t>
      </w:r>
    </w:p>
    <w:p>
      <w:r>
        <w:t>2. 确认所有曲线使用同一观察期间。</w:t>
      </w:r>
    </w:p>
    <w:p>
      <w:r>
        <w:t>3. 先找到上海整体基准，再找到目标面积段。</w:t>
      </w:r>
    </w:p>
    <w:p>
      <w:r>
        <w:t>4. 比较期末位置，也观察中途回撤和恢复过程。</w:t>
      </w:r>
    </w:p>
    <w:p>
      <w:r>
        <w:t>5. 不把组合差异归因于单一因素；地段、楼龄及样本构成等因素可能同时影响结果。</w:t>
      </w:r>
    </w:p>
    <w:p>
      <w:r>
        <w:t>该截图中的面积段为：小于50㎡、50—90㎡、90—144㎡、144—180㎡、180—250㎡和250㎡以上；分界点的具体归属应以产品说明为准。[S3]</w:t>
      </w:r>
    </w:p>
    <w:p>
      <w:r>
        <w:br w:type="page"/>
      </w:r>
    </w:p>
    <w:p>
      <w:pPr>
        <w:pStyle w:val="Caption"/>
        <w:keepNext/>
      </w:pPr>
      <w:r>
        <w:t>图8  上海面积段趋势比较  [历史真实截图]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58882" cy="6492240"/>
            <wp:docPr id="8" name="Picture 8" descr="图8 历史真实截图 上海面积段趋势比较。2026-08-17；来源 S3。原图中的部分标签截断为原始截图情况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8882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2026-08-17；来源 S3。原图中的部分标签截断为原始截图情况。 </w:t>
      </w:r>
      <w:hyperlink r:id="rId20">
        <w:r>
          <w:rPr>
            <w:color w:val="245780"/>
          </w:rPr>
          <w:t>查看原图</w:t>
        </w:r>
      </w:hyperlink>
      <w:r/>
    </w:p>
    <w:p>
      <w:r>
        <w:br w:type="page"/>
      </w:r>
    </w:p>
    <w:p>
      <w:pPr>
        <w:pStyle w:val="Heading1"/>
      </w:pPr>
      <w:r>
        <w:t>7 趋势图阅读方法</w:t>
      </w:r>
    </w:p>
    <w:p>
      <w:pPr>
        <w:pStyle w:val="Heading2"/>
      </w:pPr>
      <w:r>
        <w:t>7.1 先看坐标，再看线条</w:t>
      </w:r>
    </w:p>
    <w:p>
      <w:r>
        <w:t>本次房产截图中的多条曲线以共同起点0%呈现累计变化。纵轴反映所选区间内的变化，而非房价绝对值。[S3]</w:t>
      </w:r>
    </w:p>
    <w:p>
      <w:r>
        <w:t>读图按以下顺序进行：</w:t>
      </w:r>
    </w:p>
    <w:p>
      <w:r>
        <w:t xml:space="preserve">1. </w:t>
      </w:r>
      <w:r>
        <w:rPr>
          <w:b/>
        </w:rPr>
        <w:t>标题与期间</w:t>
      </w:r>
      <w:r>
        <w:t>：是近半年还是近一年？起止日期是什么？</w:t>
      </w:r>
    </w:p>
    <w:p>
      <w:r>
        <w:t xml:space="preserve">2. </w:t>
      </w:r>
      <w:r>
        <w:rPr>
          <w:b/>
        </w:rPr>
        <w:t>纵轴单位</w:t>
      </w:r>
      <w:r>
        <w:t>：是百分比还是价格？不要混用。</w:t>
      </w:r>
    </w:p>
    <w:p>
      <w:r>
        <w:t xml:space="preserve">3. </w:t>
      </w:r>
      <w:r>
        <w:rPr>
          <w:b/>
        </w:rPr>
        <w:t>图例与对象</w:t>
      </w:r>
      <w:r>
        <w:t>：哪条线属于目标，哪条属于基准？</w:t>
      </w:r>
    </w:p>
    <w:p>
      <w:r>
        <w:t xml:space="preserve">4. </w:t>
      </w:r>
      <w:r>
        <w:rPr>
          <w:b/>
        </w:rPr>
        <w:t>零线与期末值</w:t>
      </w:r>
      <w:r>
        <w:t>：终点在零线上方还是下方？</w:t>
      </w:r>
    </w:p>
    <w:p>
      <w:r>
        <w:t xml:space="preserve">5. </w:t>
      </w:r>
      <w:r>
        <w:rPr>
          <w:b/>
        </w:rPr>
        <w:t>过程</w:t>
      </w:r>
      <w:r>
        <w:t>：是否经历下跌后反弹？当前回升是否仍未回到起点？</w:t>
      </w:r>
    </w:p>
    <w:p>
      <w:r>
        <w:t xml:space="preserve">6. </w:t>
      </w:r>
      <w:r>
        <w:rPr>
          <w:b/>
        </w:rPr>
        <w:t>对比</w:t>
      </w:r>
      <w:r>
        <w:t>：相对基准领先还是落后，差距在扩大还是缩小？</w:t>
      </w:r>
    </w:p>
    <w:p>
      <w:r>
        <w:br w:type="page"/>
      </w:r>
    </w:p>
    <w:p>
      <w:pPr>
        <w:pStyle w:val="Caption"/>
        <w:keepNext/>
      </w:pPr>
      <w:r>
        <w:t>图9  全国与城市趋势比较  [历史真实截图]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58882" cy="6492240"/>
            <wp:docPr id="9" name="Picture 9" descr="图9 历史真实截图 全国与城市趋势比较。2026-08-17；来源 S3。先确认区间，再对照城市曲线与全国基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8882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2026-08-17；来源 S3。先确认区间，再对照城市曲线与全国基准。 </w:t>
      </w:r>
      <w:hyperlink r:id="rId22">
        <w:r>
          <w:rPr>
            <w:color w:val="245780"/>
          </w:rPr>
          <w:t>查看原图</w:t>
        </w:r>
      </w:hyperlink>
      <w:r/>
    </w:p>
    <w:p>
      <w:r>
        <w:br w:type="page"/>
      </w:r>
    </w:p>
    <w:p>
      <w:pPr>
        <w:pStyle w:val="Heading2"/>
      </w:pPr>
      <w:r>
        <w:t>7.2 三个常见误读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869"/>
      </w:tblGrid>
      <w:tr>
        <w:trPr>
          <w:cantSplit/>
          <w:tblHeader/>
        </w:trPr>
        <w:tc>
          <w:tcPr>
            <w:tcW w:type="dxa" w:w="2880"/>
            <w:vAlign w:val="center"/>
            <w:shd w:fill="E4EC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type="dxa" w:w="6869"/>
            <w:vAlign w:val="center"/>
            <w:shd w:fill="E4EC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正确读法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曲线最近向上，但期末仍为负值</w:t>
            </w:r>
          </w:p>
        </w:tc>
        <w:tc>
          <w:tcPr>
            <w:tcW w:type="dxa" w:w="68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近期恢复，但选定整个区间内仍下跌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目标曲线一直高于基准</w:t>
            </w:r>
          </w:p>
        </w:tc>
        <w:tc>
          <w:tcPr>
            <w:tcW w:type="dxa" w:w="6869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相对表现较好；还需看是否位于零线上方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换一个起点，涨幅或排序发生变化</w:t>
            </w:r>
          </w:p>
        </w:tc>
        <w:tc>
          <w:tcPr>
            <w:tcW w:type="dxa" w:w="68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起点改变会改变累计表现，应固定区间后再比较</w:t>
            </w:r>
          </w:p>
        </w:tc>
      </w:tr>
    </w:tbl>
    <w:p>
      <w:pPr>
        <w:spacing w:after="20"/>
      </w:pPr>
    </w:p>
    <w:p>
      <w:r>
        <w:t>当多条曲线重叠、标签被遮挡或数值截断时，不要估算出精确数值。优先使用页面明确列出的数值；如当前界面支持查看单条曲线或切换范围，再使用这些功能。截图无法确认悬浮提示、缩放和导出能力。</w:t>
      </w:r>
    </w:p>
    <w:p>
      <w:pPr>
        <w:pStyle w:val="Caption"/>
        <w:keepNext/>
      </w:pPr>
      <w:r>
        <w:t>图10  近一年与年初至今的区别  [教学示意图]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2534717"/>
            <wp:docPr id="10" name="Picture 10" descr="图10 教学示意图 近一年与年初至今的区别。全部为假设数据，展示时间起点差异；不是趋势动物实际行情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34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全部为假设数据，展示时间起点差异；不是趋势动物实际行情。</w:t>
      </w:r>
    </w:p>
    <w:p>
      <w:pPr>
        <w:pStyle w:val="Heading1"/>
      </w:pPr>
      <w:r>
        <w:t>8 完整实例 上海老破小页面</w:t>
      </w:r>
    </w:p>
    <w:p>
      <w:r>
        <w:t xml:space="preserve">以下数据来自 </w:t>
      </w:r>
      <w:r>
        <w:rPr>
          <w:b/>
        </w:rPr>
        <w:t>2026-08-17 的历史截图</w:t>
      </w:r>
      <w:r>
        <w:t>，仅演示阅读方法，不代表今天的数据。[S3]</w:t>
      </w:r>
    </w:p>
    <w:p>
      <w:r>
        <w:br w:type="page"/>
      </w:r>
    </w:p>
    <w:p>
      <w:pPr>
        <w:pStyle w:val="Caption"/>
        <w:keepNext/>
      </w:pPr>
      <w:r>
        <w:t>图11  上海老破小详情与基准  [历史真实截图]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45988" cy="6492239"/>
            <wp:docPr id="11" name="Picture 11" descr="图11 历史真实截图 上海老破小详情与基准。2026-08-17；来源 S3。图内局部标签重叠和截断来自原图，数值解释见本节正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5988" cy="6492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2026-08-17；来源 S3。图内局部标签重叠和截断来自原图，数值解释见本节正文。 </w:t>
      </w:r>
      <w:hyperlink r:id="rId25">
        <w:r>
          <w:rPr>
            <w:color w:val="245780"/>
          </w:rPr>
          <w:t>查看原图</w:t>
        </w:r>
      </w:hyperlink>
      <w:r/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869"/>
      </w:tblGrid>
      <w:tr>
        <w:trPr>
          <w:cantSplit/>
          <w:tblHeader/>
        </w:trPr>
        <w:tc>
          <w:tcPr>
            <w:tcW w:type="dxa" w:w="2880"/>
            <w:vAlign w:val="center"/>
            <w:shd w:fill="E4EC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6869"/>
            <w:vAlign w:val="center"/>
            <w:shd w:fill="E4EC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截图所示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对象</w:t>
            </w:r>
          </w:p>
        </w:tc>
        <w:tc>
          <w:tcPr>
            <w:tcW w:type="dxa" w:w="68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上海老破小，标注包含2878个小区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最新价格</w:t>
            </w:r>
          </w:p>
        </w:tc>
        <w:tc>
          <w:tcPr>
            <w:tcW w:type="dxa" w:w="6869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47344，人民币计价；本文不补充截图未明确的面积单位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租金收益率</w:t>
            </w:r>
          </w:p>
        </w:tc>
        <w:tc>
          <w:tcPr>
            <w:tcW w:type="dxa" w:w="68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+2.1%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近一周变动</w:t>
            </w:r>
          </w:p>
        </w:tc>
        <w:tc>
          <w:tcPr>
            <w:tcW w:type="dxa" w:w="6869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+0.1%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近一月变动</w:t>
            </w:r>
          </w:p>
        </w:tc>
        <w:tc>
          <w:tcPr>
            <w:tcW w:type="dxa" w:w="68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+0.2%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近一年变动</w:t>
            </w:r>
          </w:p>
        </w:tc>
        <w:tc>
          <w:tcPr>
            <w:tcW w:type="dxa" w:w="6869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-4.3%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年初至今涨幅</w:t>
            </w:r>
          </w:p>
        </w:tc>
        <w:tc>
          <w:tcPr>
            <w:tcW w:type="dxa" w:w="68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+1.4%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趋势温度</w:t>
            </w:r>
          </w:p>
        </w:tc>
        <w:tc>
          <w:tcPr>
            <w:tcW w:type="dxa" w:w="6869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平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趋势相对强度</w:t>
            </w:r>
          </w:p>
        </w:tc>
        <w:tc>
          <w:tcPr>
            <w:tcW w:type="dxa" w:w="68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96，页面说明“跑赢96%组合”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图表观察期间</w:t>
            </w:r>
          </w:p>
        </w:tc>
        <w:tc>
          <w:tcPr>
            <w:tcW w:type="dxa" w:w="6869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2025-08-17 至 2026-08-16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图中上海基准</w:t>
            </w:r>
          </w:p>
        </w:tc>
        <w:tc>
          <w:tcPr>
            <w:tcW w:type="dxa" w:w="68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-5.6%</w:t>
            </w:r>
          </w:p>
        </w:tc>
      </w:tr>
    </w:tbl>
    <w:p>
      <w:pPr>
        <w:spacing w:after="20"/>
      </w:pPr>
    </w:p>
    <w:p>
      <w:r>
        <w:t>可以这样阅读：</w:t>
      </w:r>
    </w:p>
    <w:p>
      <w:r>
        <w:t>该历史页面将上海老破小的趋势状态标为“平”，其近一年变化为-4.3%；同期上海基准为-5.6%，两者相差1.3个百分点。页面显示相对强度96，并说明跑赢96%组合。它在该页面所定义的范围内相对较强，但近一年仍是负变化。</w:t>
      </w:r>
    </w:p>
    <w:p>
      <w:r>
        <w:t>其中，</w:t>
      </w:r>
      <w:r>
        <w:rPr>
          <w:b/>
        </w:rPr>
        <w:t>1.3个百分点是根据两个显示值计算的差额</w:t>
      </w:r>
      <w:r>
        <w:t>，不是页面给出的交易收益，也不是“上涨1.3%”。强度的具体计算窗口未核实，不能认定它完全由近一年表现计算。</w:t>
      </w:r>
    </w:p>
    <w:p>
      <w:r>
        <w:t>页面同时出现“近一年-4.3%”和“年初至今+1.4%”并不矛盾：两者起点不同。温度“平”也不与此前累计下跌矛盾，因为它表达的是趋势状态。</w:t>
      </w:r>
    </w:p>
    <w:p>
      <w:pPr>
        <w:pStyle w:val="Heading1"/>
      </w:pPr>
      <w:r>
        <w:t>9 日常使用建议</w:t>
      </w:r>
    </w:p>
    <w:p>
      <w:pPr>
        <w:pStyle w:val="Heading2"/>
      </w:pPr>
      <w:r>
        <w:t>9.1 查看一个对象</w:t>
      </w:r>
    </w:p>
    <w:p>
      <w:r>
        <w:t>每次至少保留：对象名称、查看日期、数据更新时间、温度、强度及比较范围、所选周期涨跌幅。如果需要比较，再记录基准和同周期表现。</w:t>
      </w:r>
    </w:p>
    <w:p>
      <w:pPr>
        <w:pStyle w:val="Heading2"/>
      </w:pPr>
      <w:r>
        <w:t>9.2 比较多个对象</w:t>
      </w:r>
    </w:p>
    <w:p>
      <w:r>
        <w:t>先统一类别、时间窗口、币种及指标口径，再比较。不同范围的强度数字不要直接用来排列“谁更值得关注”；可先在各自范围内判断，再查看具有可比口径的实际变化。</w:t>
      </w:r>
    </w:p>
    <w:p>
      <w:pPr>
        <w:pStyle w:val="Heading2"/>
      </w:pPr>
      <w:r>
        <w:t>9.3 跟踪变化</w:t>
      </w:r>
    </w:p>
    <w:p>
      <w:r>
        <w:t>复查时比较两次记录的日期、范围及口径。先确认变化来自对象本身，还是来自观察期间、样本范围或展示设置的变化。只有页面明确提供的历史值，才作为实际历史数据记录。</w:t>
      </w:r>
    </w:p>
    <w:p>
      <w:r>
        <w:t>可复制以下模板进行个人记录；它是本手册提供的笔记模板，不是小程序已确认具备的功能。</w:t>
      </w:r>
    </w:p>
    <w:p>
      <w:pPr>
        <w:spacing w:after="60"/>
      </w:pPr>
      <w:r>
        <w:t>查看日期：</w:t>
      </w:r>
    </w:p>
    <w:p>
      <w:pPr>
        <w:spacing w:after="60"/>
      </w:pPr>
      <w:r>
        <w:t>对象名称 / 所属类别：</w:t>
      </w:r>
    </w:p>
    <w:p>
      <w:pPr>
        <w:spacing w:after="60"/>
      </w:pPr>
      <w:r>
        <w:t>页面数据日期 / 更新时间：</w:t>
      </w:r>
    </w:p>
    <w:p>
      <w:pPr>
        <w:spacing w:after="60"/>
      </w:pPr>
      <w:r>
        <w:t>价格及单位（如需）：</w:t>
      </w:r>
    </w:p>
    <w:p>
      <w:pPr>
        <w:spacing w:after="60"/>
      </w:pPr>
      <w:r>
        <w:t>趋势温度：</w:t>
      </w:r>
    </w:p>
    <w:p>
      <w:pPr>
        <w:spacing w:after="60"/>
      </w:pPr>
      <w:r>
        <w:t>相对强度 / 比较范围：</w:t>
      </w:r>
    </w:p>
    <w:p>
      <w:pPr>
        <w:spacing w:after="60"/>
      </w:pPr>
      <w:r>
        <w:t>涨跌幅 / 对应期间：</w:t>
      </w:r>
    </w:p>
    <w:p>
      <w:pPr>
        <w:spacing w:after="60"/>
      </w:pPr>
      <w:r>
        <w:t>基准名称 / 同期变化：</w:t>
      </w:r>
    </w:p>
    <w:p>
      <w:pPr>
        <w:spacing w:after="60"/>
      </w:pPr>
      <w:r>
        <w:t>与上次记录的变化：</w:t>
      </w:r>
    </w:p>
    <w:p>
      <w:pPr>
        <w:spacing w:after="60"/>
      </w:pPr>
      <w:r>
        <w:t>当前可以确认的结论：</w:t>
      </w:r>
    </w:p>
    <w:p>
      <w:pPr>
        <w:spacing w:after="60"/>
      </w:pPr>
      <w:r>
        <w:t>尚未确认的口径：</w:t>
      </w:r>
    </w:p>
    <w:p>
      <w:pPr>
        <w:spacing w:after="60"/>
      </w:pPr>
      <w:r>
        <w:t>来源页面或截图：</w:t>
      </w:r>
    </w:p>
    <w:p>
      <w:pPr>
        <w:pStyle w:val="Caption"/>
        <w:keepNext/>
      </w:pPr>
      <w:r>
        <w:t>图12  两次观察记录的比较流程  [教学示意图]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2534717"/>
            <wp:docPr id="12" name="Picture 12" descr="图12 教学示意图 两次观察记录的比较流程。个人阅读与记录方法，不代表小程序已有此功能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34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个人阅读与记录方法，不代表小程序已有此功能。</w:t>
      </w:r>
    </w:p>
    <w:p>
      <w:pPr>
        <w:pStyle w:val="Heading1"/>
      </w:pPr>
      <w:r>
        <w:t>10 常见问题与处理方式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869"/>
      </w:tblGrid>
      <w:tr>
        <w:trPr>
          <w:cantSplit/>
          <w:tblHeader/>
        </w:trPr>
        <w:tc>
          <w:tcPr>
            <w:tcW w:type="dxa" w:w="2880"/>
            <w:vAlign w:val="center"/>
            <w:shd w:fill="E4EC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type="dxa" w:w="6869"/>
            <w:vAlign w:val="center"/>
            <w:shd w:fill="E4EC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解释或建议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强度很高，为什么没有涨？</w:t>
            </w:r>
          </w:p>
        </w:tc>
        <w:tc>
          <w:tcPr>
            <w:tcW w:type="dxa" w:w="68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强度表达相对位置，先查看实际涨跌幅和比较范围，可能只是比其他对象跌得少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“热”是否表示一定继续上涨？</w:t>
            </w:r>
          </w:p>
        </w:tc>
        <w:tc>
          <w:tcPr>
            <w:tcW w:type="dxa" w:w="6869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不能。它描述趋势状态，不能作为确定性的未来结果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温度“平”，近一年却跌很多？</w:t>
            </w:r>
          </w:p>
        </w:tc>
        <w:tc>
          <w:tcPr>
            <w:tcW w:type="dxa" w:w="68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当前状态与长周期累计表现不同，应分别记录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为什么不同页面强度不一样？</w:t>
            </w:r>
          </w:p>
        </w:tc>
        <w:tc>
          <w:tcPr>
            <w:tcW w:type="dxa" w:w="6869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先核对是否同一对象、同一更新时间和同一比较范围；完整计算口径未核实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为什么近一年和YTD方向相反？</w:t>
            </w:r>
          </w:p>
        </w:tc>
        <w:tc>
          <w:tcPr>
            <w:tcW w:type="dxa" w:w="68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时间起点不同，可能产生不同方向的累计变化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组合价格能代表我的房屋价格吗？</w:t>
            </w:r>
          </w:p>
        </w:tc>
        <w:tc>
          <w:tcPr>
            <w:tcW w:type="dxa" w:w="6869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不能直接替代。先核对样本、单位和构造方式，再考虑具体房屋差异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搜索不到对象怎么办？</w:t>
            </w:r>
          </w:p>
        </w:tc>
        <w:tc>
          <w:tcPr>
            <w:tcW w:type="dxa" w:w="68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检查类别、名称和实际支持的搜索方式；不要把无结果直接解释为对象不存在或没有趋势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收藏后没有找到怎么办？</w:t>
            </w:r>
          </w:p>
        </w:tc>
        <w:tc>
          <w:tcPr>
            <w:tcW w:type="dxa" w:w="6869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核对当前账号、类别和“已收藏”入口是否存在；跨端同步和权限规则需查看当前说明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两条数据更新时间不同怎么办？</w:t>
            </w:r>
          </w:p>
        </w:tc>
        <w:tc>
          <w:tcPr>
            <w:tcW w:type="dxa" w:w="68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分别记录，不把它们当成同时点实时数据；需要严格比较时等待或查找一致时点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图中数值看不清怎么办？</w:t>
            </w:r>
          </w:p>
        </w:tc>
        <w:tc>
          <w:tcPr>
            <w:tcW w:type="dxa" w:w="6869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使用明确列出的数值，或查看当前界面支持的详情；无法确认时保留未知，不补猜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哪些功能需要会员？</w:t>
            </w:r>
          </w:p>
        </w:tc>
        <w:tc>
          <w:tcPr>
            <w:tcW w:type="dxa" w:w="68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本次未核实当前权益、价格、续费及退款规则，请以产品内最新说明为准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能否提醒、导出或回测？</w:t>
            </w:r>
          </w:p>
        </w:tc>
        <w:tc>
          <w:tcPr>
            <w:tcW w:type="dxa" w:w="6869"/>
            <w:vAlign w:val="center"/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本次公开截图不能确认这些能力，不能按本手册推定已经提供</w:t>
            </w:r>
          </w:p>
        </w:tc>
      </w:tr>
    </w:tbl>
    <w:p>
      <w:pPr>
        <w:spacing w:after="20"/>
      </w:pPr>
    </w:p>
    <w:p>
      <w:pPr>
        <w:pStyle w:val="Heading1"/>
      </w:pPr>
      <w:r>
        <w:t>11 使用前后的核对清单</w:t>
      </w:r>
    </w:p>
    <w:p>
      <w:r>
        <w:t>□ 我知道观察的是单一对象还是组合。</w:t>
      </w:r>
    </w:p>
    <w:p>
      <w:r>
        <w:t>□ 我记录了数据日期或更新时间。</w:t>
      </w:r>
    </w:p>
    <w:p>
      <w:r>
        <w:t>□ 我确认了涨跌幅的统计期间。</w:t>
      </w:r>
    </w:p>
    <w:p>
      <w:r>
        <w:t>□ 我看过相对强度的比较范围。</w:t>
      </w:r>
    </w:p>
    <w:p>
      <w:r>
        <w:t>□ 我同时检查了温度、强度和绝对涨跌幅。</w:t>
      </w:r>
    </w:p>
    <w:p>
      <w:r>
        <w:t>□ 我区分了近期反弹与整个期间转正。</w:t>
      </w:r>
    </w:p>
    <w:p>
      <w:r>
        <w:t>□ 我使用了同一期间的基准数据。</w:t>
      </w:r>
    </w:p>
    <w:p>
      <w:r>
        <w:t>□ 对单位、算法和权限等未确认事项，我保留了待核实标记。</w:t>
      </w:r>
    </w:p>
    <w:p>
      <w:pPr>
        <w:pStyle w:val="Heading1"/>
      </w:pPr>
      <w:r>
        <w:t>12 资料来源与版本边界</w:t>
      </w:r>
    </w:p>
    <w:p>
      <w:pPr>
        <w:pStyle w:val="Heading2"/>
      </w:pPr>
      <w:r>
        <w:t>S1 产品理念、温度与相对强度</w:t>
      </w:r>
    </w:p>
    <w:p>
      <w:pPr>
        <w:pStyle w:val="ListBullet"/>
      </w:pPr>
      <w:r/>
      <w:hyperlink r:id="rId27">
        <w:r>
          <w:rPr>
            <w:color w:val="245780"/>
          </w:rPr>
          <w:t>E37：趋势动物主理人相关访谈及节目资料</w:t>
        </w:r>
      </w:hyperlink>
      <w:r>
        <w:t>。用于早期房产层级、更新方式及指标解释；不用于保证当前版本菜单和权限。</w:t>
      </w:r>
    </w:p>
    <w:p>
      <w:pPr>
        <w:pStyle w:val="ListBullet"/>
      </w:pPr>
      <w:r/>
      <w:hyperlink r:id="rId28">
        <w:r>
          <w:rPr>
            <w:color w:val="245780"/>
          </w:rPr>
          <w:t>七档温度公开说明图</w:t>
        </w:r>
      </w:hyperlink>
      <w:r>
        <w:t>。用于温度状态含义。</w:t>
      </w:r>
    </w:p>
    <w:p>
      <w:pPr>
        <w:pStyle w:val="ListBullet"/>
      </w:pPr>
      <w:r/>
      <w:hyperlink r:id="rId29">
        <w:r>
          <w:rPr>
            <w:color w:val="245780"/>
          </w:rPr>
          <w:t>相对强度公开说明图</w:t>
        </w:r>
      </w:hyperlink>
      <w:r>
        <w:t>。用于0—100相对排名与比较范围说明。</w:t>
      </w:r>
    </w:p>
    <w:p>
      <w:pPr>
        <w:pStyle w:val="Heading2"/>
      </w:pPr>
      <w:r>
        <w:t>S2 金融资产列表</w:t>
      </w:r>
    </w:p>
    <w:p>
      <w:pPr>
        <w:pStyle w:val="ListBullet"/>
      </w:pPr>
      <w:r/>
      <w:hyperlink r:id="rId30">
        <w:r>
          <w:rPr>
            <w:color w:val="245780"/>
          </w:rPr>
          <w:t>E118 节目资料</w:t>
        </w:r>
      </w:hyperlink>
      <w:r>
        <w:t>。</w:t>
      </w:r>
    </w:p>
    <w:p>
      <w:pPr>
        <w:pStyle w:val="ListBullet"/>
      </w:pPr>
      <w:r/>
      <w:hyperlink r:id="rId13">
        <w:r>
          <w:rPr>
            <w:color w:val="245780"/>
          </w:rPr>
          <w:t>金融资产列表截图，2025-08-05</w:t>
        </w:r>
      </w:hyperlink>
      <w:r>
        <w:t>。用于搜索栏、列表列名、分类、更新时间、收藏入口与排序标识的可见事实。</w:t>
      </w:r>
    </w:p>
    <w:p>
      <w:pPr>
        <w:pStyle w:val="Heading2"/>
      </w:pPr>
      <w:r>
        <w:t>S3 房产页面与趋势比较</w:t>
      </w:r>
    </w:p>
    <w:p>
      <w:pPr>
        <w:pStyle w:val="ListBullet"/>
      </w:pPr>
      <w:r/>
      <w:hyperlink r:id="rId31">
        <w:r>
          <w:rPr>
            <w:color w:val="245780"/>
          </w:rPr>
          <w:t>EP155 节目资料，发布于2026-08-19</w:t>
        </w:r>
      </w:hyperlink>
      <w:r>
        <w:t>。用于房产数据方法的访谈描述；未独立验证其完整算法。</w:t>
      </w:r>
    </w:p>
    <w:p>
      <w:pPr>
        <w:pStyle w:val="ListBullet"/>
      </w:pPr>
      <w:r/>
      <w:hyperlink r:id="rId25">
        <w:r>
          <w:rPr>
            <w:color w:val="245780"/>
          </w:rPr>
          <w:t>上海老破小详情与基准图，2026-08-17</w:t>
        </w:r>
      </w:hyperlink>
      <w:r>
        <w:t>。用于完整阅读实例及字段解释。</w:t>
      </w:r>
    </w:p>
    <w:p>
      <w:pPr>
        <w:pStyle w:val="ListBullet"/>
      </w:pPr>
      <w:r/>
      <w:hyperlink r:id="rId20">
        <w:r>
          <w:rPr>
            <w:color w:val="245780"/>
          </w:rPr>
          <w:t>上海面积段房价趋势，2026-08-17</w:t>
        </w:r>
      </w:hyperlink>
      <w:r>
        <w:t>。用于面积段分组与多曲线比较。</w:t>
      </w:r>
    </w:p>
    <w:p>
      <w:pPr>
        <w:pStyle w:val="ListBullet"/>
      </w:pPr>
      <w:r/>
      <w:hyperlink r:id="rId22">
        <w:r>
          <w:rPr>
            <w:color w:val="245780"/>
          </w:rPr>
          <w:t>全国房产近半年趋势，2026-08-17</w:t>
        </w:r>
      </w:hyperlink>
      <w:r>
        <w:t>。用于城市与全国基准的同起点比较。</w:t>
      </w:r>
    </w:p>
    <w:p>
      <w:pPr>
        <w:pStyle w:val="Heading2"/>
      </w:pPr>
      <w:r>
        <w:t>本版尚未验证的内容</w:t>
      </w:r>
    </w:p>
    <w:p>
      <w:r>
        <w:t>未完成小程序端内操作验证，包括：当前登录与开通流程、准确菜单路径、筛选和排序交互、收藏持久化、历史区间切换、图表交互、数据导出、提醒能力、当前会员权益，以及指标公式与刷新规则。后续若获得当前版本页面和实际操作记录，可在此基础上补充逐步操作版手册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趋势动物产品用户手册  |  公开资料图解版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/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/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3" w:lineRule="auto"/>
      <w:outlineLvl w:val="0"/>
    </w:pPr>
    <w:rPr>
      <w:rFonts w:cstheme="majorBidi" w:ascii="Arial Unicode MS" w:hAnsi="Arial Unicode MS" w:eastAsia="Arial Unicode MS" w:cs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3" w:lineRule="auto"/>
      <w:outlineLvl w:val="1"/>
    </w:pPr>
    <w:rPr>
      <w:rFonts w:cstheme="majorBidi" w:ascii="Arial Unicode MS" w:hAnsi="Arial Unicode MS" w:eastAsia="Arial Unicode MS" w:cs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83" w:lineRule="auto"/>
      <w:outlineLvl w:val="2"/>
    </w:pPr>
    <w:rPr>
      <w:rFonts w:cstheme="majorBidi" w:ascii="Arial Unicode MS" w:hAnsi="Arial Unicode MS" w:eastAsia="Arial Unicode MS" w:cs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3" w:lineRule="auto" w:before="240"/>
      <w:contextualSpacing/>
    </w:pPr>
    <w:rPr>
      <w:rFonts w:cstheme="majorBidi" w:ascii="Arial Unicode MS" w:hAnsi="Arial Unicode MS" w:eastAsia="Arial Unicode MS" w:cs="Arial Unicode MS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3" w:lineRule="auto"/>
    </w:pPr>
    <w:rPr>
      <w:rFonts w:cstheme="majorBidi" w:ascii="Arial Unicode MS" w:hAnsi="Arial Unicode MS" w:eastAsia="Arial Unicode MS" w:cs="Arial Unicode MS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/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/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3" w:lineRule="auto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3" w:lineRule="auto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20"/>
    </w:pPr>
    <w:rPr>
      <w:rFonts w:ascii="Arial Unicode MS" w:hAnsi="Arial Unicode MS" w:eastAsia="Arial Unicode MS" w:cs="Arial Unicode MS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image.xyzcdn.net/FnhuJfGPi-3P46RiockPV48Q8azO.png" TargetMode="Externa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jpg"/><Relationship Id="rId20" Type="http://schemas.openxmlformats.org/officeDocument/2006/relationships/hyperlink" Target="https://image.xyzcdn.net/FiJyvpex6-k95MRrdl7Vc1lm4AGg.jpg" TargetMode="External"/><Relationship Id="rId21" Type="http://schemas.openxmlformats.org/officeDocument/2006/relationships/image" Target="media/image9.png"/><Relationship Id="rId22" Type="http://schemas.openxmlformats.org/officeDocument/2006/relationships/hyperlink" Target="https://image.xyzcdn.net/FkSVuYW7ZjfLmzUvRtt_Ah-OAAqR.png" TargetMode="External"/><Relationship Id="rId23" Type="http://schemas.openxmlformats.org/officeDocument/2006/relationships/image" Target="media/image10.png"/><Relationship Id="rId24" Type="http://schemas.openxmlformats.org/officeDocument/2006/relationships/image" Target="media/image11.jpg"/><Relationship Id="rId25" Type="http://schemas.openxmlformats.org/officeDocument/2006/relationships/hyperlink" Target="https://image.xyzcdn.net/Fkcmlq54KHz7vrOXhJjA_uikI0Sw.jpg" TargetMode="External"/><Relationship Id="rId26" Type="http://schemas.openxmlformats.org/officeDocument/2006/relationships/image" Target="media/image12.png"/><Relationship Id="rId27" Type="http://schemas.openxmlformats.org/officeDocument/2006/relationships/hyperlink" Target="https://www.xiaoyuzhoufm.com/episode/6577e4cf991e2ee608b39c56" TargetMode="External"/><Relationship Id="rId28" Type="http://schemas.openxmlformats.org/officeDocument/2006/relationships/hyperlink" Target="https://image.xyzcdn.net/Fppz556_bqXtpT2bUmugmPq-8itC.jpg" TargetMode="External"/><Relationship Id="rId29" Type="http://schemas.openxmlformats.org/officeDocument/2006/relationships/hyperlink" Target="https://image.xyzcdn.net/FhNwtva8j-OF2-1aYmR1BJTjfgbB.jpg" TargetMode="External"/><Relationship Id="rId30" Type="http://schemas.openxmlformats.org/officeDocument/2006/relationships/hyperlink" Target="https://www.xiaoyuzhoufm.com/episode/6890c2138e06fe8de74c266b" TargetMode="External"/><Relationship Id="rId31" Type="http://schemas.openxmlformats.org/officeDocument/2006/relationships/hyperlink" Target="https://podfollow.com/podcast-1686711660/episode/50a98d469e2fb652b83b2b89263110908264fcad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趋势动物产品用户手册</dc:title>
  <dc:subject>公开资料图解版 V1.2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