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A8DB" w14:textId="77777777" w:rsidR="00B07C97" w:rsidRPr="00C7060F" w:rsidRDefault="00B07C97" w:rsidP="00B07C97">
      <w:pPr>
        <w:pStyle w:val="2"/>
        <w:spacing w:before="0" w:after="0" w:line="415" w:lineRule="auto"/>
        <w:rPr>
          <w:rFonts w:ascii="Palatino Linotype" w:hAnsi="Palatino Linotype"/>
          <w:i/>
          <w:sz w:val="24"/>
          <w:szCs w:val="24"/>
        </w:rPr>
      </w:pPr>
      <w:r w:rsidRPr="00C7060F">
        <w:rPr>
          <w:rFonts w:ascii="Palatino Linotype" w:hAnsi="Palatino Linotype"/>
          <w:i/>
          <w:sz w:val="24"/>
          <w:szCs w:val="24"/>
        </w:rPr>
        <w:t>Data Sources</w:t>
      </w:r>
    </w:p>
    <w:p w14:paraId="3BE6A829" w14:textId="77777777" w:rsidR="00B07C97" w:rsidRPr="005B74ED" w:rsidRDefault="00B07C97" w:rsidP="00B07C97">
      <w:pPr>
        <w:rPr>
          <w:rFonts w:ascii="Palatino Linotype" w:hAnsi="Palatino Linotype"/>
          <w:sz w:val="22"/>
        </w:rPr>
      </w:pPr>
      <w:r w:rsidRPr="005B74ED">
        <w:rPr>
          <w:rFonts w:ascii="Palatino Linotype" w:hAnsi="Palatino Linotype"/>
          <w:sz w:val="22"/>
        </w:rPr>
        <w:t>The data used in this study are from publicly available information from various official agencies. The data sources as well as the base year data are shown in the table below. Among them, the 2017 input-output table is from the national economic accounting section in China Statistical Yearbook 2019; other sources of energy consumption data for each industry in previous years such as BP World Energy Statistical Yearbook are biased to underestimate the actual consumption value; other sources of carbon emissions for each industry in previous years such as BP are biased to underestimate the actual emission value and Emission Database for Global Atmospheric Research (EDGAR) are biased to overestimate the actual value.</w:t>
      </w:r>
    </w:p>
    <w:p w14:paraId="1ACDF521" w14:textId="77777777" w:rsidR="00B07C97" w:rsidRPr="00CA267A" w:rsidRDefault="00B07C97" w:rsidP="00B07C97">
      <w:pPr>
        <w:jc w:val="center"/>
        <w:rPr>
          <w:rFonts w:ascii="Palatino Linotype" w:hAnsi="Palatino Linotype"/>
          <w:sz w:val="22"/>
        </w:rPr>
      </w:pPr>
      <w:r w:rsidRPr="00CA267A">
        <w:rPr>
          <w:rFonts w:ascii="Palatino Linotype" w:hAnsi="Palatino Linotype"/>
          <w:sz w:val="22"/>
        </w:rPr>
        <w:t>Table 1 Data Sources</w:t>
      </w:r>
    </w:p>
    <w:tbl>
      <w:tblPr>
        <w:tblStyle w:val="a3"/>
        <w:tblW w:w="8892" w:type="dxa"/>
        <w:tblLook w:val="04A0" w:firstRow="1" w:lastRow="0" w:firstColumn="1" w:lastColumn="0" w:noHBand="0" w:noVBand="1"/>
      </w:tblPr>
      <w:tblGrid>
        <w:gridCol w:w="1020"/>
        <w:gridCol w:w="3382"/>
        <w:gridCol w:w="1133"/>
        <w:gridCol w:w="3357"/>
      </w:tblGrid>
      <w:tr w:rsidR="00B07C97" w:rsidRPr="00E9275F" w14:paraId="54F5B5E8" w14:textId="77777777" w:rsidTr="00761397">
        <w:trPr>
          <w:trHeight w:val="170"/>
        </w:trPr>
        <w:tc>
          <w:tcPr>
            <w:tcW w:w="1020" w:type="dxa"/>
            <w:vAlign w:val="center"/>
          </w:tcPr>
          <w:p w14:paraId="6A41AA5C"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Demand</w:t>
            </w:r>
          </w:p>
        </w:tc>
        <w:tc>
          <w:tcPr>
            <w:tcW w:w="3428" w:type="dxa"/>
            <w:vAlign w:val="center"/>
          </w:tcPr>
          <w:p w14:paraId="74316E2D"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Data Categories</w:t>
            </w:r>
          </w:p>
        </w:tc>
        <w:tc>
          <w:tcPr>
            <w:tcW w:w="1042" w:type="dxa"/>
            <w:vAlign w:val="center"/>
          </w:tcPr>
          <w:p w14:paraId="275C9DA0" w14:textId="77777777" w:rsidR="00B07C97" w:rsidRPr="00E9275F" w:rsidRDefault="00B07C97" w:rsidP="00761397">
            <w:pPr>
              <w:jc w:val="center"/>
              <w:rPr>
                <w:rFonts w:ascii="Palatino Linotype" w:hAnsi="Palatino Linotype"/>
                <w:b/>
                <w:sz w:val="18"/>
                <w:szCs w:val="18"/>
              </w:rPr>
            </w:pPr>
            <w:proofErr w:type="gramStart"/>
            <w:r w:rsidRPr="00E9275F">
              <w:rPr>
                <w:rFonts w:ascii="Palatino Linotype" w:hAnsi="Palatino Linotype"/>
                <w:b/>
                <w:sz w:val="18"/>
                <w:szCs w:val="18"/>
              </w:rPr>
              <w:t>Time(</w:t>
            </w:r>
            <w:proofErr w:type="gramEnd"/>
            <w:r w:rsidRPr="00E9275F">
              <w:rPr>
                <w:rFonts w:ascii="Palatino Linotype" w:hAnsi="Palatino Linotype"/>
                <w:b/>
                <w:sz w:val="18"/>
                <w:szCs w:val="18"/>
              </w:rPr>
              <w:t>Year)</w:t>
            </w:r>
          </w:p>
        </w:tc>
        <w:tc>
          <w:tcPr>
            <w:tcW w:w="3402" w:type="dxa"/>
            <w:vAlign w:val="center"/>
          </w:tcPr>
          <w:p w14:paraId="2717BE8C"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Sources</w:t>
            </w:r>
          </w:p>
        </w:tc>
      </w:tr>
      <w:tr w:rsidR="00B07C97" w:rsidRPr="00980784" w14:paraId="2AA76171" w14:textId="77777777" w:rsidTr="00761397">
        <w:trPr>
          <w:trHeight w:val="170"/>
        </w:trPr>
        <w:tc>
          <w:tcPr>
            <w:tcW w:w="1020" w:type="dxa"/>
            <w:vMerge w:val="restart"/>
            <w:vAlign w:val="center"/>
          </w:tcPr>
          <w:p w14:paraId="71507632"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Economy</w:t>
            </w:r>
          </w:p>
        </w:tc>
        <w:tc>
          <w:tcPr>
            <w:tcW w:w="3428" w:type="dxa"/>
            <w:vAlign w:val="center"/>
          </w:tcPr>
          <w:p w14:paraId="36D3521A"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Input-Output Table</w:t>
            </w:r>
          </w:p>
        </w:tc>
        <w:tc>
          <w:tcPr>
            <w:tcW w:w="1042" w:type="dxa"/>
            <w:vAlign w:val="center"/>
          </w:tcPr>
          <w:p w14:paraId="640185B0"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2017</w:t>
            </w:r>
          </w:p>
        </w:tc>
        <w:tc>
          <w:tcPr>
            <w:tcW w:w="3402" w:type="dxa"/>
            <w:vAlign w:val="center"/>
          </w:tcPr>
          <w:p w14:paraId="29728D67" w14:textId="10E36285"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China Statistical Yearbook 2019</w:t>
            </w:r>
            <w:r w:rsidR="00A00E38" w:rsidRPr="00A00E38">
              <w:rPr>
                <w:rFonts w:ascii="Palatino Linotype" w:hAnsi="Palatino Linotype"/>
                <w:sz w:val="18"/>
                <w:szCs w:val="18"/>
                <w:vertAlign w:val="superscript"/>
              </w:rPr>
              <w:t>1</w:t>
            </w:r>
          </w:p>
        </w:tc>
      </w:tr>
      <w:tr w:rsidR="00B07C97" w:rsidRPr="00980784" w14:paraId="3843F4FA" w14:textId="77777777" w:rsidTr="00761397">
        <w:trPr>
          <w:trHeight w:val="227"/>
        </w:trPr>
        <w:tc>
          <w:tcPr>
            <w:tcW w:w="1020" w:type="dxa"/>
            <w:vMerge/>
            <w:vAlign w:val="center"/>
          </w:tcPr>
          <w:p w14:paraId="7251E84A" w14:textId="77777777" w:rsidR="00B07C97" w:rsidRPr="00980784" w:rsidRDefault="00B07C97" w:rsidP="00761397">
            <w:pPr>
              <w:jc w:val="left"/>
              <w:rPr>
                <w:rFonts w:ascii="Palatino Linotype" w:hAnsi="Palatino Linotype"/>
                <w:sz w:val="18"/>
                <w:szCs w:val="18"/>
              </w:rPr>
            </w:pPr>
          </w:p>
        </w:tc>
        <w:tc>
          <w:tcPr>
            <w:tcW w:w="3428" w:type="dxa"/>
            <w:vAlign w:val="center"/>
          </w:tcPr>
          <w:p w14:paraId="4B496095"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GDP</w:t>
            </w:r>
            <w:r>
              <w:rPr>
                <w:rFonts w:ascii="Palatino Linotype" w:hAnsi="Palatino Linotype" w:hint="eastAsia"/>
                <w:sz w:val="18"/>
                <w:szCs w:val="18"/>
              </w:rPr>
              <w:t xml:space="preserve">, </w:t>
            </w:r>
            <w:r w:rsidRPr="00980784">
              <w:rPr>
                <w:rFonts w:ascii="Palatino Linotype" w:hAnsi="Palatino Linotype"/>
                <w:sz w:val="18"/>
                <w:szCs w:val="18"/>
              </w:rPr>
              <w:t>Industry Added</w:t>
            </w:r>
            <w:r>
              <w:rPr>
                <w:rFonts w:ascii="Palatino Linotype" w:hAnsi="Palatino Linotype" w:hint="eastAsia"/>
                <w:sz w:val="18"/>
                <w:szCs w:val="18"/>
              </w:rPr>
              <w:t>-</w:t>
            </w:r>
            <w:r w:rsidRPr="00980784">
              <w:rPr>
                <w:rFonts w:ascii="Palatino Linotype" w:hAnsi="Palatino Linotype"/>
                <w:sz w:val="18"/>
                <w:szCs w:val="18"/>
              </w:rPr>
              <w:t xml:space="preserve"> Value</w:t>
            </w:r>
          </w:p>
        </w:tc>
        <w:tc>
          <w:tcPr>
            <w:tcW w:w="1042" w:type="dxa"/>
            <w:vAlign w:val="center"/>
          </w:tcPr>
          <w:p w14:paraId="590B1E27"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2000-2019</w:t>
            </w:r>
          </w:p>
        </w:tc>
        <w:tc>
          <w:tcPr>
            <w:tcW w:w="3402" w:type="dxa"/>
            <w:vAlign w:val="center"/>
          </w:tcPr>
          <w:p w14:paraId="1A9098D5" w14:textId="5CD39FCC"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China Statistical Yearbook 2020</w:t>
            </w:r>
            <w:r w:rsidR="00C61FF2" w:rsidRPr="00C61FF2">
              <w:rPr>
                <w:rFonts w:ascii="Palatino Linotype" w:hAnsi="Palatino Linotype"/>
                <w:sz w:val="18"/>
                <w:szCs w:val="18"/>
                <w:vertAlign w:val="superscript"/>
              </w:rPr>
              <w:t>2</w:t>
            </w:r>
          </w:p>
        </w:tc>
      </w:tr>
      <w:tr w:rsidR="00B07C97" w:rsidRPr="00980784" w14:paraId="1A61C238" w14:textId="77777777" w:rsidTr="00761397">
        <w:tc>
          <w:tcPr>
            <w:tcW w:w="1020" w:type="dxa"/>
            <w:vMerge w:val="restart"/>
            <w:vAlign w:val="center"/>
          </w:tcPr>
          <w:p w14:paraId="2219ED3E"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Energy</w:t>
            </w:r>
          </w:p>
        </w:tc>
        <w:tc>
          <w:tcPr>
            <w:tcW w:w="3428" w:type="dxa"/>
            <w:vAlign w:val="center"/>
          </w:tcPr>
          <w:p w14:paraId="57AF35DE"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Energy consumption in total and by industry</w:t>
            </w:r>
          </w:p>
        </w:tc>
        <w:tc>
          <w:tcPr>
            <w:tcW w:w="1042" w:type="dxa"/>
            <w:vAlign w:val="center"/>
          </w:tcPr>
          <w:p w14:paraId="77B27763"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2000-2019</w:t>
            </w:r>
          </w:p>
        </w:tc>
        <w:tc>
          <w:tcPr>
            <w:tcW w:w="3402" w:type="dxa"/>
            <w:vAlign w:val="center"/>
          </w:tcPr>
          <w:p w14:paraId="149B06D4" w14:textId="2AF996BC"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China Energy Statistics Yearbook 2020</w:t>
            </w:r>
            <w:r w:rsidR="00C61FF2">
              <w:rPr>
                <w:rFonts w:ascii="Palatino Linotype" w:hAnsi="Palatino Linotype"/>
                <w:sz w:val="18"/>
                <w:szCs w:val="18"/>
                <w:vertAlign w:val="superscript"/>
              </w:rPr>
              <w:t>3</w:t>
            </w:r>
          </w:p>
        </w:tc>
      </w:tr>
      <w:tr w:rsidR="00B07C97" w:rsidRPr="00980784" w14:paraId="4B785309" w14:textId="77777777" w:rsidTr="00761397">
        <w:trPr>
          <w:trHeight w:val="227"/>
        </w:trPr>
        <w:tc>
          <w:tcPr>
            <w:tcW w:w="1020" w:type="dxa"/>
            <w:vMerge/>
            <w:vAlign w:val="center"/>
          </w:tcPr>
          <w:p w14:paraId="33649199" w14:textId="77777777" w:rsidR="00B07C97" w:rsidRPr="00980784" w:rsidRDefault="00B07C97" w:rsidP="00761397">
            <w:pPr>
              <w:jc w:val="left"/>
              <w:rPr>
                <w:rFonts w:ascii="Palatino Linotype" w:hAnsi="Palatino Linotype"/>
                <w:sz w:val="18"/>
                <w:szCs w:val="18"/>
              </w:rPr>
            </w:pPr>
          </w:p>
        </w:tc>
        <w:tc>
          <w:tcPr>
            <w:tcW w:w="3428" w:type="dxa"/>
            <w:vAlign w:val="center"/>
          </w:tcPr>
          <w:p w14:paraId="3432575A"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Energy consumption per capita</w:t>
            </w:r>
          </w:p>
        </w:tc>
        <w:tc>
          <w:tcPr>
            <w:tcW w:w="1042" w:type="dxa"/>
            <w:vAlign w:val="center"/>
          </w:tcPr>
          <w:p w14:paraId="0A4DD717"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2000-2019</w:t>
            </w:r>
          </w:p>
        </w:tc>
        <w:tc>
          <w:tcPr>
            <w:tcW w:w="3402" w:type="dxa"/>
            <w:vAlign w:val="center"/>
          </w:tcPr>
          <w:p w14:paraId="67413417" w14:textId="7B5B66D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BP Statistics review of world energy 2021</w:t>
            </w:r>
            <w:r w:rsidR="00C61FF2">
              <w:rPr>
                <w:rFonts w:ascii="Palatino Linotype" w:hAnsi="Palatino Linotype"/>
                <w:sz w:val="18"/>
                <w:szCs w:val="18"/>
                <w:vertAlign w:val="superscript"/>
              </w:rPr>
              <w:t>4</w:t>
            </w:r>
          </w:p>
        </w:tc>
      </w:tr>
      <w:tr w:rsidR="00B07C97" w:rsidRPr="00980784" w14:paraId="74C0D2C9" w14:textId="77777777" w:rsidTr="00761397">
        <w:trPr>
          <w:trHeight w:val="227"/>
        </w:trPr>
        <w:tc>
          <w:tcPr>
            <w:tcW w:w="1020" w:type="dxa"/>
            <w:vMerge/>
            <w:vAlign w:val="center"/>
          </w:tcPr>
          <w:p w14:paraId="621663B3" w14:textId="77777777" w:rsidR="00B07C97" w:rsidRPr="00980784" w:rsidRDefault="00B07C97" w:rsidP="00761397">
            <w:pPr>
              <w:jc w:val="left"/>
              <w:rPr>
                <w:rFonts w:ascii="Palatino Linotype" w:hAnsi="Palatino Linotype"/>
                <w:sz w:val="18"/>
                <w:szCs w:val="18"/>
              </w:rPr>
            </w:pPr>
          </w:p>
        </w:tc>
        <w:tc>
          <w:tcPr>
            <w:tcW w:w="3428" w:type="dxa"/>
            <w:vAlign w:val="center"/>
          </w:tcPr>
          <w:p w14:paraId="0FFBA54B"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Populations</w:t>
            </w:r>
          </w:p>
        </w:tc>
        <w:tc>
          <w:tcPr>
            <w:tcW w:w="1042" w:type="dxa"/>
            <w:vAlign w:val="center"/>
          </w:tcPr>
          <w:p w14:paraId="4400EADD"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2020-2060</w:t>
            </w:r>
          </w:p>
        </w:tc>
        <w:tc>
          <w:tcPr>
            <w:tcW w:w="3402" w:type="dxa"/>
            <w:vAlign w:val="center"/>
          </w:tcPr>
          <w:p w14:paraId="723EF819" w14:textId="643AAC1B"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United Nations Population Division</w:t>
            </w:r>
            <w:r w:rsidR="00C61FF2" w:rsidRPr="00C61FF2">
              <w:rPr>
                <w:rFonts w:ascii="Palatino Linotype" w:hAnsi="Palatino Linotype"/>
                <w:sz w:val="18"/>
                <w:szCs w:val="18"/>
                <w:vertAlign w:val="superscript"/>
              </w:rPr>
              <w:t>5</w:t>
            </w:r>
          </w:p>
        </w:tc>
      </w:tr>
      <w:tr w:rsidR="00B07C97" w:rsidRPr="00980784" w14:paraId="009058C7" w14:textId="77777777" w:rsidTr="00761397">
        <w:trPr>
          <w:trHeight w:val="454"/>
        </w:trPr>
        <w:tc>
          <w:tcPr>
            <w:tcW w:w="1020" w:type="dxa"/>
            <w:vAlign w:val="center"/>
          </w:tcPr>
          <w:p w14:paraId="24636507"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Carbon</w:t>
            </w:r>
          </w:p>
        </w:tc>
        <w:tc>
          <w:tcPr>
            <w:tcW w:w="3428" w:type="dxa"/>
            <w:vAlign w:val="center"/>
          </w:tcPr>
          <w:p w14:paraId="142788B3"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Carbon Emissions in Total and by Industry</w:t>
            </w:r>
          </w:p>
        </w:tc>
        <w:tc>
          <w:tcPr>
            <w:tcW w:w="1042" w:type="dxa"/>
            <w:vAlign w:val="center"/>
          </w:tcPr>
          <w:p w14:paraId="4BB3F59F"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2000-2019</w:t>
            </w:r>
          </w:p>
        </w:tc>
        <w:tc>
          <w:tcPr>
            <w:tcW w:w="3402" w:type="dxa"/>
            <w:vAlign w:val="center"/>
          </w:tcPr>
          <w:p w14:paraId="51E2B040" w14:textId="4EAD0E78"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China Carbon Emission Accounting Database (CEADs)</w:t>
            </w:r>
            <w:r w:rsidR="00C61FF2" w:rsidRPr="00C61FF2">
              <w:rPr>
                <w:rFonts w:ascii="Palatino Linotype" w:hAnsi="Palatino Linotype"/>
                <w:sz w:val="18"/>
                <w:szCs w:val="18"/>
                <w:vertAlign w:val="superscript"/>
              </w:rPr>
              <w:t>6</w:t>
            </w:r>
          </w:p>
        </w:tc>
      </w:tr>
      <w:tr w:rsidR="00B07C97" w:rsidRPr="00980784" w14:paraId="42B8C1B2" w14:textId="77777777" w:rsidTr="00761397">
        <w:tc>
          <w:tcPr>
            <w:tcW w:w="1020" w:type="dxa"/>
            <w:vMerge w:val="restart"/>
            <w:vAlign w:val="center"/>
          </w:tcPr>
          <w:p w14:paraId="3CAA6F62"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Electricity</w:t>
            </w:r>
          </w:p>
        </w:tc>
        <w:tc>
          <w:tcPr>
            <w:tcW w:w="3428" w:type="dxa"/>
            <w:vAlign w:val="center"/>
          </w:tcPr>
          <w:p w14:paraId="717FD91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Basic data of different electricity generation technologies: electricity generation capacity, installed capacity</w:t>
            </w:r>
          </w:p>
        </w:tc>
        <w:tc>
          <w:tcPr>
            <w:tcW w:w="1042" w:type="dxa"/>
            <w:vAlign w:val="center"/>
          </w:tcPr>
          <w:p w14:paraId="50B75E0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2000-2019</w:t>
            </w:r>
          </w:p>
        </w:tc>
        <w:tc>
          <w:tcPr>
            <w:tcW w:w="3402" w:type="dxa"/>
            <w:vAlign w:val="center"/>
          </w:tcPr>
          <w:p w14:paraId="259E3DE2" w14:textId="7FD92623"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China Electric Power Yearbook 2020</w:t>
            </w:r>
            <w:r w:rsidR="00C61FF2">
              <w:rPr>
                <w:rFonts w:ascii="Palatino Linotype" w:hAnsi="Palatino Linotype"/>
                <w:sz w:val="18"/>
                <w:szCs w:val="18"/>
                <w:vertAlign w:val="superscript"/>
              </w:rPr>
              <w:t>7</w:t>
            </w:r>
          </w:p>
        </w:tc>
      </w:tr>
      <w:tr w:rsidR="00B07C97" w:rsidRPr="00980784" w14:paraId="0DF03423" w14:textId="77777777" w:rsidTr="00761397">
        <w:tc>
          <w:tcPr>
            <w:tcW w:w="1020" w:type="dxa"/>
            <w:vMerge/>
            <w:vAlign w:val="center"/>
          </w:tcPr>
          <w:p w14:paraId="44EBA527" w14:textId="77777777" w:rsidR="00B07C97" w:rsidRPr="00980784" w:rsidRDefault="00B07C97" w:rsidP="00761397">
            <w:pPr>
              <w:jc w:val="left"/>
              <w:rPr>
                <w:rFonts w:ascii="Palatino Linotype" w:hAnsi="Palatino Linotype"/>
                <w:sz w:val="18"/>
                <w:szCs w:val="18"/>
              </w:rPr>
            </w:pPr>
          </w:p>
        </w:tc>
        <w:tc>
          <w:tcPr>
            <w:tcW w:w="3428" w:type="dxa"/>
            <w:vAlign w:val="center"/>
          </w:tcPr>
          <w:p w14:paraId="1F2B9AB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Electricity generation capacity of the different electricity generation technologies</w:t>
            </w:r>
          </w:p>
        </w:tc>
        <w:tc>
          <w:tcPr>
            <w:tcW w:w="1042" w:type="dxa"/>
            <w:vAlign w:val="center"/>
          </w:tcPr>
          <w:p w14:paraId="66DA43C0"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2020-2050</w:t>
            </w:r>
          </w:p>
        </w:tc>
        <w:tc>
          <w:tcPr>
            <w:tcW w:w="3402" w:type="dxa"/>
            <w:vAlign w:val="center"/>
          </w:tcPr>
          <w:p w14:paraId="5E661994" w14:textId="2172EEF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International Energy Agency (IEA)：World Energy Outlook 2021</w:t>
            </w:r>
            <w:r w:rsidR="00265805">
              <w:rPr>
                <w:rFonts w:ascii="Palatino Linotype" w:hAnsi="Palatino Linotype"/>
                <w:sz w:val="18"/>
                <w:szCs w:val="18"/>
                <w:vertAlign w:val="superscript"/>
              </w:rPr>
              <w:t>8</w:t>
            </w:r>
          </w:p>
        </w:tc>
      </w:tr>
    </w:tbl>
    <w:p w14:paraId="530CCF5F" w14:textId="77777777" w:rsidR="00B07C97" w:rsidRDefault="00B07C97" w:rsidP="00B07C97">
      <w:pPr>
        <w:jc w:val="center"/>
        <w:rPr>
          <w:rFonts w:ascii="Palatino Linotype" w:hAnsi="Palatino Linotype"/>
          <w:sz w:val="22"/>
        </w:rPr>
      </w:pPr>
    </w:p>
    <w:p w14:paraId="2D7C533E" w14:textId="77777777" w:rsidR="00B07C97" w:rsidRPr="00CA267A" w:rsidRDefault="00B07C97" w:rsidP="00B07C97">
      <w:pPr>
        <w:jc w:val="center"/>
        <w:rPr>
          <w:rFonts w:ascii="Palatino Linotype" w:hAnsi="Palatino Linotype"/>
          <w:sz w:val="22"/>
        </w:rPr>
      </w:pPr>
      <w:r w:rsidRPr="00CA267A">
        <w:rPr>
          <w:rFonts w:ascii="Palatino Linotype" w:hAnsi="Palatino Linotype"/>
          <w:sz w:val="22"/>
        </w:rPr>
        <w:t>Table 2. Key data for China of economic, energy and carbon emissions</w:t>
      </w:r>
    </w:p>
    <w:tbl>
      <w:tblPr>
        <w:tblStyle w:val="a3"/>
        <w:tblW w:w="9014" w:type="dxa"/>
        <w:tblLook w:val="04A0" w:firstRow="1" w:lastRow="0" w:firstColumn="1" w:lastColumn="0" w:noHBand="0" w:noVBand="1"/>
      </w:tblPr>
      <w:tblGrid>
        <w:gridCol w:w="1871"/>
        <w:gridCol w:w="741"/>
        <w:gridCol w:w="741"/>
        <w:gridCol w:w="741"/>
        <w:gridCol w:w="846"/>
        <w:gridCol w:w="846"/>
        <w:gridCol w:w="846"/>
        <w:gridCol w:w="794"/>
        <w:gridCol w:w="794"/>
        <w:gridCol w:w="794"/>
      </w:tblGrid>
      <w:tr w:rsidR="00B07C97" w:rsidRPr="00E9275F" w14:paraId="39D6271F" w14:textId="77777777" w:rsidTr="00761397">
        <w:tc>
          <w:tcPr>
            <w:tcW w:w="1871" w:type="dxa"/>
            <w:vMerge w:val="restart"/>
            <w:vAlign w:val="center"/>
          </w:tcPr>
          <w:p w14:paraId="1592424D" w14:textId="77777777" w:rsidR="00B07C97" w:rsidRPr="00E9275F" w:rsidRDefault="00B07C97" w:rsidP="00761397">
            <w:pPr>
              <w:ind w:firstLine="420"/>
              <w:jc w:val="center"/>
              <w:rPr>
                <w:rFonts w:ascii="Palatino Linotype" w:hAnsi="Palatino Linotype"/>
                <w:b/>
                <w:sz w:val="18"/>
                <w:szCs w:val="18"/>
              </w:rPr>
            </w:pPr>
            <w:r w:rsidRPr="00E9275F">
              <w:rPr>
                <w:rFonts w:ascii="Palatino Linotype" w:hAnsi="Palatino Linotype"/>
                <w:b/>
                <w:sz w:val="18"/>
                <w:szCs w:val="18"/>
              </w:rPr>
              <w:t>Industry</w:t>
            </w:r>
          </w:p>
        </w:tc>
        <w:tc>
          <w:tcPr>
            <w:tcW w:w="2223" w:type="dxa"/>
            <w:gridSpan w:val="3"/>
            <w:vAlign w:val="center"/>
          </w:tcPr>
          <w:p w14:paraId="2706301B"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Added value</w:t>
            </w:r>
          </w:p>
          <w:p w14:paraId="33705520"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(billion CNY)</w:t>
            </w:r>
          </w:p>
        </w:tc>
        <w:tc>
          <w:tcPr>
            <w:tcW w:w="2538" w:type="dxa"/>
            <w:gridSpan w:val="3"/>
            <w:vAlign w:val="center"/>
          </w:tcPr>
          <w:p w14:paraId="777E73E1"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Energy consumption</w:t>
            </w:r>
          </w:p>
          <w:p w14:paraId="493074FA"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w:t>
            </w:r>
            <w:r w:rsidRPr="00E9275F">
              <w:rPr>
                <w:rFonts w:ascii="Palatino Linotype" w:hAnsi="Palatino Linotype" w:hint="eastAsia"/>
                <w:b/>
                <w:sz w:val="18"/>
                <w:szCs w:val="18"/>
              </w:rPr>
              <w:t>M</w:t>
            </w:r>
            <w:r w:rsidRPr="00E9275F">
              <w:rPr>
                <w:rFonts w:ascii="Palatino Linotype" w:hAnsi="Palatino Linotype"/>
                <w:b/>
                <w:sz w:val="18"/>
                <w:szCs w:val="18"/>
              </w:rPr>
              <w:t>tce)</w:t>
            </w:r>
          </w:p>
        </w:tc>
        <w:tc>
          <w:tcPr>
            <w:tcW w:w="2382" w:type="dxa"/>
            <w:gridSpan w:val="3"/>
            <w:vAlign w:val="center"/>
          </w:tcPr>
          <w:p w14:paraId="63046692"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Carbon emission</w:t>
            </w:r>
          </w:p>
          <w:p w14:paraId="3ADFE161" w14:textId="77777777" w:rsidR="00B07C97" w:rsidRPr="00E9275F" w:rsidRDefault="00B07C97" w:rsidP="00761397">
            <w:pPr>
              <w:jc w:val="center"/>
              <w:rPr>
                <w:rFonts w:ascii="Palatino Linotype" w:hAnsi="Palatino Linotype"/>
                <w:b/>
                <w:sz w:val="18"/>
                <w:szCs w:val="18"/>
              </w:rPr>
            </w:pPr>
            <w:r w:rsidRPr="00E9275F">
              <w:rPr>
                <w:rFonts w:ascii="Palatino Linotype" w:hAnsi="Palatino Linotype"/>
                <w:b/>
                <w:sz w:val="18"/>
                <w:szCs w:val="18"/>
              </w:rPr>
              <w:t>(Mt CO</w:t>
            </w:r>
            <w:r w:rsidRPr="00C65CCC">
              <w:rPr>
                <w:rFonts w:ascii="Palatino Linotype" w:hAnsi="Palatino Linotype"/>
                <w:b/>
                <w:sz w:val="18"/>
                <w:szCs w:val="18"/>
                <w:vertAlign w:val="subscript"/>
              </w:rPr>
              <w:t>2</w:t>
            </w:r>
            <w:r w:rsidRPr="00E9275F">
              <w:rPr>
                <w:rFonts w:ascii="Palatino Linotype" w:hAnsi="Palatino Linotype"/>
                <w:b/>
                <w:sz w:val="18"/>
                <w:szCs w:val="18"/>
              </w:rPr>
              <w:t>)</w:t>
            </w:r>
          </w:p>
        </w:tc>
      </w:tr>
      <w:tr w:rsidR="00B07C97" w:rsidRPr="00980784" w14:paraId="2B5A57D4" w14:textId="77777777" w:rsidTr="00761397">
        <w:tc>
          <w:tcPr>
            <w:tcW w:w="1871" w:type="dxa"/>
            <w:vMerge/>
            <w:vAlign w:val="center"/>
          </w:tcPr>
          <w:p w14:paraId="67A7A4C7" w14:textId="77777777" w:rsidR="00B07C97" w:rsidRPr="00980784" w:rsidRDefault="00B07C97" w:rsidP="00761397">
            <w:pPr>
              <w:jc w:val="center"/>
              <w:rPr>
                <w:rFonts w:ascii="Palatino Linotype" w:hAnsi="Palatino Linotype"/>
                <w:sz w:val="18"/>
                <w:szCs w:val="18"/>
              </w:rPr>
            </w:pPr>
          </w:p>
        </w:tc>
        <w:tc>
          <w:tcPr>
            <w:tcW w:w="741" w:type="dxa"/>
            <w:vAlign w:val="center"/>
          </w:tcPr>
          <w:p w14:paraId="2569624D"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2000</w:t>
            </w:r>
          </w:p>
        </w:tc>
        <w:tc>
          <w:tcPr>
            <w:tcW w:w="741" w:type="dxa"/>
            <w:vAlign w:val="center"/>
          </w:tcPr>
          <w:p w14:paraId="56ECEF0D"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2010</w:t>
            </w:r>
          </w:p>
        </w:tc>
        <w:tc>
          <w:tcPr>
            <w:tcW w:w="741" w:type="dxa"/>
            <w:vAlign w:val="center"/>
          </w:tcPr>
          <w:p w14:paraId="5A9B9FB6"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2019</w:t>
            </w:r>
          </w:p>
        </w:tc>
        <w:tc>
          <w:tcPr>
            <w:tcW w:w="846" w:type="dxa"/>
            <w:vAlign w:val="center"/>
          </w:tcPr>
          <w:p w14:paraId="1F4AE8BA"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w:t>
            </w:r>
          </w:p>
        </w:tc>
        <w:tc>
          <w:tcPr>
            <w:tcW w:w="846" w:type="dxa"/>
            <w:vAlign w:val="center"/>
          </w:tcPr>
          <w:p w14:paraId="17CEF8B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2010</w:t>
            </w:r>
          </w:p>
        </w:tc>
        <w:tc>
          <w:tcPr>
            <w:tcW w:w="846" w:type="dxa"/>
            <w:vAlign w:val="center"/>
          </w:tcPr>
          <w:p w14:paraId="7A2879D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2019</w:t>
            </w:r>
          </w:p>
        </w:tc>
        <w:tc>
          <w:tcPr>
            <w:tcW w:w="794" w:type="dxa"/>
            <w:vAlign w:val="center"/>
          </w:tcPr>
          <w:p w14:paraId="7DD631FF"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2000</w:t>
            </w:r>
          </w:p>
        </w:tc>
        <w:tc>
          <w:tcPr>
            <w:tcW w:w="794" w:type="dxa"/>
            <w:vAlign w:val="center"/>
          </w:tcPr>
          <w:p w14:paraId="1D48F335"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2010</w:t>
            </w:r>
          </w:p>
        </w:tc>
        <w:tc>
          <w:tcPr>
            <w:tcW w:w="794" w:type="dxa"/>
            <w:vAlign w:val="center"/>
          </w:tcPr>
          <w:p w14:paraId="12A6FD9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2019</w:t>
            </w:r>
          </w:p>
        </w:tc>
      </w:tr>
      <w:tr w:rsidR="00B07C97" w:rsidRPr="00980784" w14:paraId="3CC34D0C" w14:textId="77777777" w:rsidTr="00761397">
        <w:tc>
          <w:tcPr>
            <w:tcW w:w="1871" w:type="dxa"/>
            <w:vAlign w:val="center"/>
          </w:tcPr>
          <w:p w14:paraId="43E823AD"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Primary industry</w:t>
            </w:r>
          </w:p>
        </w:tc>
        <w:tc>
          <w:tcPr>
            <w:tcW w:w="741" w:type="dxa"/>
            <w:vAlign w:val="center"/>
          </w:tcPr>
          <w:p w14:paraId="3BAD7E83"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1472</w:t>
            </w:r>
          </w:p>
        </w:tc>
        <w:tc>
          <w:tcPr>
            <w:tcW w:w="741" w:type="dxa"/>
            <w:vAlign w:val="center"/>
          </w:tcPr>
          <w:p w14:paraId="09DB393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3843</w:t>
            </w:r>
          </w:p>
        </w:tc>
        <w:tc>
          <w:tcPr>
            <w:tcW w:w="741" w:type="dxa"/>
            <w:vAlign w:val="center"/>
          </w:tcPr>
          <w:p w14:paraId="3A2DB8DC"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7047</w:t>
            </w:r>
          </w:p>
        </w:tc>
        <w:tc>
          <w:tcPr>
            <w:tcW w:w="846" w:type="dxa"/>
            <w:vAlign w:val="center"/>
          </w:tcPr>
          <w:p w14:paraId="0719A246"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42</w:t>
            </w:r>
            <w:r>
              <w:rPr>
                <w:rFonts w:ascii="Palatino Linotype" w:hAnsi="Palatino Linotype" w:hint="eastAsia"/>
                <w:sz w:val="18"/>
                <w:szCs w:val="18"/>
              </w:rPr>
              <w:t>.</w:t>
            </w:r>
            <w:r w:rsidRPr="00980784">
              <w:rPr>
                <w:rFonts w:ascii="Palatino Linotype" w:hAnsi="Palatino Linotype"/>
                <w:sz w:val="18"/>
                <w:szCs w:val="18"/>
              </w:rPr>
              <w:t>33</w:t>
            </w:r>
          </w:p>
        </w:tc>
        <w:tc>
          <w:tcPr>
            <w:tcW w:w="846" w:type="dxa"/>
            <w:vAlign w:val="center"/>
          </w:tcPr>
          <w:p w14:paraId="7D72FC7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72</w:t>
            </w:r>
            <w:r>
              <w:rPr>
                <w:rFonts w:ascii="Palatino Linotype" w:hAnsi="Palatino Linotype" w:hint="eastAsia"/>
                <w:sz w:val="18"/>
                <w:szCs w:val="18"/>
              </w:rPr>
              <w:t>.</w:t>
            </w:r>
            <w:r w:rsidRPr="00980784">
              <w:rPr>
                <w:rFonts w:ascii="Palatino Linotype" w:hAnsi="Palatino Linotype"/>
                <w:sz w:val="18"/>
                <w:szCs w:val="18"/>
              </w:rPr>
              <w:t>66</w:t>
            </w:r>
          </w:p>
        </w:tc>
        <w:tc>
          <w:tcPr>
            <w:tcW w:w="846" w:type="dxa"/>
            <w:vAlign w:val="center"/>
          </w:tcPr>
          <w:p w14:paraId="3F4B70EA"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9018</w:t>
            </w:r>
          </w:p>
        </w:tc>
        <w:tc>
          <w:tcPr>
            <w:tcW w:w="794" w:type="dxa"/>
            <w:vAlign w:val="center"/>
          </w:tcPr>
          <w:p w14:paraId="4C379035"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43.5</w:t>
            </w:r>
          </w:p>
        </w:tc>
        <w:tc>
          <w:tcPr>
            <w:tcW w:w="794" w:type="dxa"/>
            <w:vAlign w:val="center"/>
          </w:tcPr>
          <w:p w14:paraId="0AA41ADF"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79.1</w:t>
            </w:r>
          </w:p>
        </w:tc>
        <w:tc>
          <w:tcPr>
            <w:tcW w:w="794" w:type="dxa"/>
            <w:vAlign w:val="center"/>
          </w:tcPr>
          <w:p w14:paraId="54A799C7"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87.12</w:t>
            </w:r>
          </w:p>
        </w:tc>
      </w:tr>
      <w:tr w:rsidR="00B07C97" w:rsidRPr="00980784" w14:paraId="5FC791A2" w14:textId="77777777" w:rsidTr="00761397">
        <w:tc>
          <w:tcPr>
            <w:tcW w:w="1871" w:type="dxa"/>
            <w:vAlign w:val="center"/>
          </w:tcPr>
          <w:p w14:paraId="2B6F9276"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Secondary industry</w:t>
            </w:r>
          </w:p>
        </w:tc>
        <w:tc>
          <w:tcPr>
            <w:tcW w:w="741" w:type="dxa"/>
            <w:vAlign w:val="center"/>
          </w:tcPr>
          <w:p w14:paraId="72528F2F"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4566</w:t>
            </w:r>
          </w:p>
        </w:tc>
        <w:tc>
          <w:tcPr>
            <w:tcW w:w="741" w:type="dxa"/>
            <w:vAlign w:val="center"/>
          </w:tcPr>
          <w:p w14:paraId="644BE18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19162</w:t>
            </w:r>
          </w:p>
        </w:tc>
        <w:tc>
          <w:tcPr>
            <w:tcW w:w="741" w:type="dxa"/>
            <w:vAlign w:val="center"/>
          </w:tcPr>
          <w:p w14:paraId="4E16ED33"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38067</w:t>
            </w:r>
          </w:p>
        </w:tc>
        <w:tc>
          <w:tcPr>
            <w:tcW w:w="846" w:type="dxa"/>
            <w:vAlign w:val="center"/>
          </w:tcPr>
          <w:p w14:paraId="6096A779"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1052</w:t>
            </w:r>
            <w:r>
              <w:rPr>
                <w:rFonts w:ascii="Palatino Linotype" w:hAnsi="Palatino Linotype" w:hint="eastAsia"/>
                <w:sz w:val="18"/>
                <w:szCs w:val="18"/>
              </w:rPr>
              <w:t>.</w:t>
            </w:r>
            <w:r w:rsidRPr="00980784">
              <w:rPr>
                <w:rFonts w:ascii="Palatino Linotype" w:hAnsi="Palatino Linotype"/>
                <w:sz w:val="18"/>
                <w:szCs w:val="18"/>
              </w:rPr>
              <w:t>21</w:t>
            </w:r>
          </w:p>
        </w:tc>
        <w:tc>
          <w:tcPr>
            <w:tcW w:w="846" w:type="dxa"/>
            <w:vAlign w:val="center"/>
          </w:tcPr>
          <w:p w14:paraId="0EA3C705"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2669</w:t>
            </w:r>
            <w:r>
              <w:rPr>
                <w:rFonts w:ascii="Palatino Linotype" w:hAnsi="Palatino Linotype" w:hint="eastAsia"/>
                <w:sz w:val="18"/>
                <w:szCs w:val="18"/>
              </w:rPr>
              <w:t>.</w:t>
            </w:r>
            <w:r w:rsidRPr="00980784">
              <w:rPr>
                <w:rFonts w:ascii="Palatino Linotype" w:hAnsi="Palatino Linotype"/>
                <w:sz w:val="18"/>
                <w:szCs w:val="18"/>
              </w:rPr>
              <w:t>11</w:t>
            </w:r>
          </w:p>
        </w:tc>
        <w:tc>
          <w:tcPr>
            <w:tcW w:w="846" w:type="dxa"/>
            <w:vAlign w:val="center"/>
          </w:tcPr>
          <w:p w14:paraId="3C16BA2C"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331646</w:t>
            </w:r>
          </w:p>
        </w:tc>
        <w:tc>
          <w:tcPr>
            <w:tcW w:w="794" w:type="dxa"/>
            <w:vAlign w:val="center"/>
          </w:tcPr>
          <w:p w14:paraId="4EF0FC0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2472.7</w:t>
            </w:r>
          </w:p>
        </w:tc>
        <w:tc>
          <w:tcPr>
            <w:tcW w:w="794" w:type="dxa"/>
            <w:vAlign w:val="center"/>
          </w:tcPr>
          <w:p w14:paraId="0E0194C7"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6921.2</w:t>
            </w:r>
          </w:p>
        </w:tc>
        <w:tc>
          <w:tcPr>
            <w:tcW w:w="794" w:type="dxa"/>
            <w:vAlign w:val="center"/>
          </w:tcPr>
          <w:p w14:paraId="6DB54FE9"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8260.8</w:t>
            </w:r>
          </w:p>
        </w:tc>
      </w:tr>
      <w:tr w:rsidR="00B07C97" w:rsidRPr="00980784" w14:paraId="43FCA800" w14:textId="77777777" w:rsidTr="00761397">
        <w:tc>
          <w:tcPr>
            <w:tcW w:w="1871" w:type="dxa"/>
            <w:vAlign w:val="center"/>
          </w:tcPr>
          <w:p w14:paraId="062AD496"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Tertiary industry</w:t>
            </w:r>
          </w:p>
        </w:tc>
        <w:tc>
          <w:tcPr>
            <w:tcW w:w="741" w:type="dxa"/>
            <w:vAlign w:val="center"/>
          </w:tcPr>
          <w:p w14:paraId="342A4513"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3990</w:t>
            </w:r>
          </w:p>
        </w:tc>
        <w:tc>
          <w:tcPr>
            <w:tcW w:w="741" w:type="dxa"/>
            <w:vAlign w:val="center"/>
          </w:tcPr>
          <w:p w14:paraId="54A8C7C9"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18206</w:t>
            </w:r>
          </w:p>
        </w:tc>
        <w:tc>
          <w:tcPr>
            <w:tcW w:w="741" w:type="dxa"/>
            <w:vAlign w:val="center"/>
          </w:tcPr>
          <w:p w14:paraId="6A055AB6"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53537</w:t>
            </w:r>
          </w:p>
        </w:tc>
        <w:tc>
          <w:tcPr>
            <w:tcW w:w="846" w:type="dxa"/>
            <w:vAlign w:val="center"/>
          </w:tcPr>
          <w:p w14:paraId="6A75D926"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208</w:t>
            </w:r>
            <w:r>
              <w:rPr>
                <w:rFonts w:ascii="Palatino Linotype" w:hAnsi="Palatino Linotype" w:hint="eastAsia"/>
                <w:sz w:val="18"/>
                <w:szCs w:val="18"/>
              </w:rPr>
              <w:t>.</w:t>
            </w:r>
            <w:r w:rsidRPr="00980784">
              <w:rPr>
                <w:rFonts w:ascii="Palatino Linotype" w:hAnsi="Palatino Linotype"/>
                <w:sz w:val="18"/>
                <w:szCs w:val="18"/>
              </w:rPr>
              <w:t>16</w:t>
            </w:r>
          </w:p>
        </w:tc>
        <w:tc>
          <w:tcPr>
            <w:tcW w:w="846" w:type="dxa"/>
            <w:vAlign w:val="center"/>
          </w:tcPr>
          <w:p w14:paraId="46186943"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500</w:t>
            </w:r>
            <w:r>
              <w:rPr>
                <w:rFonts w:ascii="Palatino Linotype" w:hAnsi="Palatino Linotype" w:hint="eastAsia"/>
                <w:sz w:val="18"/>
                <w:szCs w:val="18"/>
              </w:rPr>
              <w:t>.</w:t>
            </w:r>
            <w:r w:rsidRPr="00980784">
              <w:rPr>
                <w:rFonts w:ascii="Palatino Linotype" w:hAnsi="Palatino Linotype"/>
                <w:sz w:val="18"/>
                <w:szCs w:val="18"/>
              </w:rPr>
              <w:t>01</w:t>
            </w:r>
          </w:p>
        </w:tc>
        <w:tc>
          <w:tcPr>
            <w:tcW w:w="846" w:type="dxa"/>
            <w:vAlign w:val="center"/>
          </w:tcPr>
          <w:p w14:paraId="318AFCBE"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85115</w:t>
            </w:r>
          </w:p>
        </w:tc>
        <w:tc>
          <w:tcPr>
            <w:tcW w:w="794" w:type="dxa"/>
            <w:vAlign w:val="center"/>
          </w:tcPr>
          <w:p w14:paraId="3C0ED0DA"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314</w:t>
            </w:r>
          </w:p>
        </w:tc>
        <w:tc>
          <w:tcPr>
            <w:tcW w:w="794" w:type="dxa"/>
            <w:vAlign w:val="center"/>
          </w:tcPr>
          <w:p w14:paraId="1F6F0E25"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682.7</w:t>
            </w:r>
          </w:p>
        </w:tc>
        <w:tc>
          <w:tcPr>
            <w:tcW w:w="794" w:type="dxa"/>
            <w:vAlign w:val="center"/>
          </w:tcPr>
          <w:p w14:paraId="027E57D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980</w:t>
            </w:r>
          </w:p>
        </w:tc>
      </w:tr>
      <w:tr w:rsidR="00B07C97" w:rsidRPr="00980784" w14:paraId="04C16758" w14:textId="77777777" w:rsidTr="00761397">
        <w:tc>
          <w:tcPr>
            <w:tcW w:w="1871" w:type="dxa"/>
            <w:vAlign w:val="center"/>
          </w:tcPr>
          <w:p w14:paraId="4EC5DA20"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Residential</w:t>
            </w:r>
          </w:p>
        </w:tc>
        <w:tc>
          <w:tcPr>
            <w:tcW w:w="741" w:type="dxa"/>
            <w:vAlign w:val="center"/>
          </w:tcPr>
          <w:p w14:paraId="174DCB1B"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w:t>
            </w:r>
          </w:p>
        </w:tc>
        <w:tc>
          <w:tcPr>
            <w:tcW w:w="741" w:type="dxa"/>
            <w:vAlign w:val="center"/>
          </w:tcPr>
          <w:p w14:paraId="1E75773E"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w:t>
            </w:r>
          </w:p>
        </w:tc>
        <w:tc>
          <w:tcPr>
            <w:tcW w:w="741" w:type="dxa"/>
            <w:vAlign w:val="center"/>
          </w:tcPr>
          <w:p w14:paraId="1B6C545A"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w:t>
            </w:r>
          </w:p>
        </w:tc>
        <w:tc>
          <w:tcPr>
            <w:tcW w:w="846" w:type="dxa"/>
            <w:vAlign w:val="center"/>
          </w:tcPr>
          <w:p w14:paraId="25ECB77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166</w:t>
            </w:r>
            <w:r>
              <w:rPr>
                <w:rFonts w:ascii="Palatino Linotype" w:hAnsi="Palatino Linotype" w:hint="eastAsia"/>
                <w:sz w:val="18"/>
                <w:szCs w:val="18"/>
              </w:rPr>
              <w:t>.</w:t>
            </w:r>
            <w:r w:rsidRPr="00980784">
              <w:rPr>
                <w:rFonts w:ascii="Palatino Linotype" w:hAnsi="Palatino Linotype"/>
                <w:sz w:val="18"/>
                <w:szCs w:val="18"/>
              </w:rPr>
              <w:t>95</w:t>
            </w:r>
          </w:p>
        </w:tc>
        <w:tc>
          <w:tcPr>
            <w:tcW w:w="846" w:type="dxa"/>
            <w:vAlign w:val="center"/>
          </w:tcPr>
          <w:p w14:paraId="054747F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364</w:t>
            </w:r>
            <w:r>
              <w:rPr>
                <w:rFonts w:ascii="Palatino Linotype" w:hAnsi="Palatino Linotype" w:hint="eastAsia"/>
                <w:sz w:val="18"/>
                <w:szCs w:val="18"/>
              </w:rPr>
              <w:t>.</w:t>
            </w:r>
            <w:r w:rsidRPr="00980784">
              <w:rPr>
                <w:rFonts w:ascii="Palatino Linotype" w:hAnsi="Palatino Linotype"/>
                <w:sz w:val="18"/>
                <w:szCs w:val="18"/>
              </w:rPr>
              <w:t>70</w:t>
            </w:r>
          </w:p>
        </w:tc>
        <w:tc>
          <w:tcPr>
            <w:tcW w:w="846" w:type="dxa"/>
            <w:vAlign w:val="center"/>
          </w:tcPr>
          <w:p w14:paraId="1AA0B29D"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61709</w:t>
            </w:r>
          </w:p>
        </w:tc>
        <w:tc>
          <w:tcPr>
            <w:tcW w:w="794" w:type="dxa"/>
            <w:vAlign w:val="center"/>
          </w:tcPr>
          <w:p w14:paraId="21F0E962"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173.2</w:t>
            </w:r>
          </w:p>
        </w:tc>
        <w:tc>
          <w:tcPr>
            <w:tcW w:w="794" w:type="dxa"/>
            <w:vAlign w:val="center"/>
          </w:tcPr>
          <w:p w14:paraId="32361EDB"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221.5</w:t>
            </w:r>
          </w:p>
        </w:tc>
        <w:tc>
          <w:tcPr>
            <w:tcW w:w="794" w:type="dxa"/>
            <w:vAlign w:val="center"/>
          </w:tcPr>
          <w:p w14:paraId="614A919F"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478</w:t>
            </w:r>
          </w:p>
        </w:tc>
      </w:tr>
      <w:tr w:rsidR="00B07C97" w:rsidRPr="00980784" w14:paraId="79B3398A" w14:textId="77777777" w:rsidTr="00761397">
        <w:tc>
          <w:tcPr>
            <w:tcW w:w="1871" w:type="dxa"/>
            <w:vAlign w:val="center"/>
          </w:tcPr>
          <w:p w14:paraId="0AA641A3"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Total</w:t>
            </w:r>
          </w:p>
        </w:tc>
        <w:tc>
          <w:tcPr>
            <w:tcW w:w="741" w:type="dxa"/>
            <w:vAlign w:val="center"/>
          </w:tcPr>
          <w:p w14:paraId="2730B334" w14:textId="77777777" w:rsidR="00B07C97" w:rsidRPr="00980784" w:rsidRDefault="00B07C97" w:rsidP="00761397">
            <w:pPr>
              <w:jc w:val="center"/>
              <w:rPr>
                <w:rFonts w:ascii="Palatino Linotype" w:hAnsi="Palatino Linotype"/>
                <w:sz w:val="18"/>
                <w:szCs w:val="18"/>
              </w:rPr>
            </w:pPr>
            <w:r w:rsidRPr="00980784">
              <w:rPr>
                <w:rFonts w:ascii="Palatino Linotype" w:hAnsi="Palatino Linotype"/>
                <w:sz w:val="18"/>
                <w:szCs w:val="18"/>
              </w:rPr>
              <w:t>10028</w:t>
            </w:r>
          </w:p>
        </w:tc>
        <w:tc>
          <w:tcPr>
            <w:tcW w:w="741" w:type="dxa"/>
            <w:vAlign w:val="center"/>
          </w:tcPr>
          <w:p w14:paraId="12579315"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41212</w:t>
            </w:r>
          </w:p>
        </w:tc>
        <w:tc>
          <w:tcPr>
            <w:tcW w:w="741" w:type="dxa"/>
            <w:vAlign w:val="center"/>
          </w:tcPr>
          <w:p w14:paraId="44B24127"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98651</w:t>
            </w:r>
          </w:p>
        </w:tc>
        <w:tc>
          <w:tcPr>
            <w:tcW w:w="846" w:type="dxa"/>
            <w:vAlign w:val="center"/>
          </w:tcPr>
          <w:p w14:paraId="057A5BAC"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1469</w:t>
            </w:r>
            <w:r>
              <w:rPr>
                <w:rFonts w:ascii="Palatino Linotype" w:hAnsi="Palatino Linotype" w:hint="eastAsia"/>
                <w:sz w:val="18"/>
                <w:szCs w:val="18"/>
              </w:rPr>
              <w:t>.</w:t>
            </w:r>
            <w:r w:rsidRPr="00980784">
              <w:rPr>
                <w:rFonts w:ascii="Palatino Linotype" w:hAnsi="Palatino Linotype"/>
                <w:sz w:val="18"/>
                <w:szCs w:val="18"/>
              </w:rPr>
              <w:t>64</w:t>
            </w:r>
          </w:p>
        </w:tc>
        <w:tc>
          <w:tcPr>
            <w:tcW w:w="846" w:type="dxa"/>
            <w:vAlign w:val="center"/>
          </w:tcPr>
          <w:p w14:paraId="421B9B8B"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3606</w:t>
            </w:r>
            <w:r>
              <w:rPr>
                <w:rFonts w:ascii="Palatino Linotype" w:hAnsi="Palatino Linotype" w:hint="eastAsia"/>
                <w:sz w:val="18"/>
                <w:szCs w:val="18"/>
              </w:rPr>
              <w:t>.</w:t>
            </w:r>
            <w:r w:rsidRPr="00980784">
              <w:rPr>
                <w:rFonts w:ascii="Palatino Linotype" w:hAnsi="Palatino Linotype"/>
                <w:sz w:val="18"/>
                <w:szCs w:val="18"/>
              </w:rPr>
              <w:t>48</w:t>
            </w:r>
          </w:p>
        </w:tc>
        <w:tc>
          <w:tcPr>
            <w:tcW w:w="846" w:type="dxa"/>
            <w:vAlign w:val="center"/>
          </w:tcPr>
          <w:p w14:paraId="382AF6F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487488</w:t>
            </w:r>
          </w:p>
        </w:tc>
        <w:tc>
          <w:tcPr>
            <w:tcW w:w="794" w:type="dxa"/>
            <w:vAlign w:val="center"/>
          </w:tcPr>
          <w:p w14:paraId="635148E8"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3003.4</w:t>
            </w:r>
          </w:p>
        </w:tc>
        <w:tc>
          <w:tcPr>
            <w:tcW w:w="794" w:type="dxa"/>
            <w:vAlign w:val="center"/>
          </w:tcPr>
          <w:p w14:paraId="4066CAB1"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7904.5</w:t>
            </w:r>
          </w:p>
        </w:tc>
        <w:tc>
          <w:tcPr>
            <w:tcW w:w="794" w:type="dxa"/>
            <w:vAlign w:val="center"/>
          </w:tcPr>
          <w:p w14:paraId="427ABD0B" w14:textId="77777777" w:rsidR="00B07C97" w:rsidRPr="00980784" w:rsidRDefault="00B07C97" w:rsidP="00761397">
            <w:pPr>
              <w:jc w:val="left"/>
              <w:rPr>
                <w:rFonts w:ascii="Palatino Linotype" w:hAnsi="Palatino Linotype"/>
                <w:sz w:val="18"/>
                <w:szCs w:val="18"/>
              </w:rPr>
            </w:pPr>
            <w:r w:rsidRPr="00980784">
              <w:rPr>
                <w:rFonts w:ascii="Palatino Linotype" w:hAnsi="Palatino Linotype"/>
                <w:sz w:val="18"/>
                <w:szCs w:val="18"/>
              </w:rPr>
              <w:t>9806</w:t>
            </w:r>
          </w:p>
        </w:tc>
      </w:tr>
    </w:tbl>
    <w:p w14:paraId="3CA5745A" w14:textId="326D7956" w:rsidR="00D174CF" w:rsidRDefault="00D174CF"/>
    <w:p w14:paraId="3EE778EB" w14:textId="77777777" w:rsidR="006D50D9" w:rsidRDefault="006D50D9" w:rsidP="006D50D9">
      <w:pPr>
        <w:pStyle w:val="1"/>
      </w:pPr>
      <w:r>
        <w:rPr>
          <w:rFonts w:hint="eastAsia"/>
        </w:rPr>
        <w:lastRenderedPageBreak/>
        <w:t>R</w:t>
      </w:r>
      <w:r>
        <w:t>eferences</w:t>
      </w:r>
    </w:p>
    <w:p w14:paraId="51169714" w14:textId="77777777" w:rsidR="006D50D9" w:rsidRDefault="006D50D9" w:rsidP="006D50D9">
      <w:pPr>
        <w:pStyle w:val="a8"/>
        <w:numPr>
          <w:ilvl w:val="0"/>
          <w:numId w:val="2"/>
        </w:numPr>
        <w:ind w:firstLineChars="0"/>
      </w:pPr>
      <w:r>
        <w:t xml:space="preserve">National Bureau of Statistics of China (NBSC). </w:t>
      </w:r>
      <w:r w:rsidRPr="00C61FF2">
        <w:rPr>
          <w:i/>
          <w:iCs/>
        </w:rPr>
        <w:t>Input-output Table of China in 2017</w:t>
      </w:r>
      <w:r>
        <w:t xml:space="preserve"> (China Statistics Press, 2019).</w:t>
      </w:r>
    </w:p>
    <w:p w14:paraId="6AAEAD95" w14:textId="77777777" w:rsidR="006D50D9" w:rsidRDefault="006D50D9" w:rsidP="006D50D9">
      <w:pPr>
        <w:pStyle w:val="a8"/>
        <w:numPr>
          <w:ilvl w:val="0"/>
          <w:numId w:val="2"/>
        </w:numPr>
        <w:ind w:firstLineChars="0"/>
      </w:pPr>
      <w:r>
        <w:t xml:space="preserve">National Bureau of Statistics of China (NBSC) </w:t>
      </w:r>
      <w:r w:rsidRPr="00C61FF2">
        <w:rPr>
          <w:i/>
          <w:iCs/>
        </w:rPr>
        <w:t>China Statistical Yearbook 2020</w:t>
      </w:r>
      <w:r>
        <w:t xml:space="preserve"> (China Statistics Press, 2020).</w:t>
      </w:r>
    </w:p>
    <w:p w14:paraId="4A462CBB" w14:textId="77777777" w:rsidR="006D50D9" w:rsidRDefault="006D50D9" w:rsidP="006D50D9">
      <w:pPr>
        <w:pStyle w:val="a8"/>
        <w:numPr>
          <w:ilvl w:val="0"/>
          <w:numId w:val="2"/>
        </w:numPr>
        <w:ind w:firstLineChars="0"/>
      </w:pPr>
      <w:r>
        <w:t xml:space="preserve">National Bureau of Statistics of China (NBSC) </w:t>
      </w:r>
      <w:r w:rsidRPr="00C61FF2">
        <w:rPr>
          <w:i/>
          <w:iCs/>
        </w:rPr>
        <w:t>China Energy Statistical Yearbook 2020</w:t>
      </w:r>
      <w:r>
        <w:t xml:space="preserve"> (China Statistics Press, 2020).</w:t>
      </w:r>
    </w:p>
    <w:p w14:paraId="012EE897" w14:textId="77777777" w:rsidR="006D50D9" w:rsidRDefault="006D50D9" w:rsidP="006D50D9">
      <w:pPr>
        <w:pStyle w:val="a8"/>
        <w:numPr>
          <w:ilvl w:val="0"/>
          <w:numId w:val="2"/>
        </w:numPr>
        <w:ind w:firstLineChars="0"/>
      </w:pPr>
      <w:r w:rsidRPr="00542425">
        <w:rPr>
          <w:i/>
          <w:iCs/>
          <w:sz w:val="22"/>
          <w:lang w:val="en-CA"/>
        </w:rPr>
        <w:t>Statistical Review of World Energy 2021</w:t>
      </w:r>
      <w:r w:rsidRPr="00542425">
        <w:rPr>
          <w:sz w:val="22"/>
          <w:lang w:val="en-CA"/>
        </w:rPr>
        <w:t xml:space="preserve"> (British Petroleum,2021)</w:t>
      </w:r>
      <w:r>
        <w:rPr>
          <w:sz w:val="22"/>
          <w:lang w:val="en-CA"/>
        </w:rPr>
        <w:t>.</w:t>
      </w:r>
    </w:p>
    <w:p w14:paraId="7F9D967C" w14:textId="77777777" w:rsidR="006D50D9" w:rsidRDefault="006D50D9" w:rsidP="006D50D9">
      <w:pPr>
        <w:pStyle w:val="a8"/>
        <w:numPr>
          <w:ilvl w:val="0"/>
          <w:numId w:val="2"/>
        </w:numPr>
        <w:ind w:firstLineChars="0"/>
      </w:pPr>
      <w:r>
        <w:t xml:space="preserve">United Nations Population Division. </w:t>
      </w:r>
      <w:r w:rsidRPr="00C61FF2">
        <w:rPr>
          <w:i/>
          <w:iCs/>
        </w:rPr>
        <w:t>World Polpulation Prospects 2019</w:t>
      </w:r>
      <w:r>
        <w:t xml:space="preserve"> </w:t>
      </w:r>
      <w:r w:rsidRPr="000240D3">
        <w:t>http://creativecommons.org/licenses/by/3.0/igo/</w:t>
      </w:r>
      <w:r>
        <w:t>.</w:t>
      </w:r>
    </w:p>
    <w:p w14:paraId="5BA304A3" w14:textId="77777777" w:rsidR="006D50D9" w:rsidRDefault="006D50D9" w:rsidP="006D50D9">
      <w:pPr>
        <w:pStyle w:val="a8"/>
        <w:numPr>
          <w:ilvl w:val="0"/>
          <w:numId w:val="2"/>
        </w:numPr>
        <w:ind w:firstLineChars="0"/>
      </w:pPr>
      <w:r w:rsidRPr="00381FD5">
        <w:t>China Carbon Emission Accounting Database</w:t>
      </w:r>
      <w:r w:rsidRPr="00381FD5">
        <w:rPr>
          <w:rFonts w:hint="eastAsia"/>
        </w:rPr>
        <w:t xml:space="preserve"> </w:t>
      </w:r>
      <w:r w:rsidRPr="00381FD5">
        <w:t>(</w:t>
      </w:r>
      <w:r w:rsidRPr="00381FD5">
        <w:rPr>
          <w:rFonts w:hint="eastAsia"/>
        </w:rPr>
        <w:t>C</w:t>
      </w:r>
      <w:r w:rsidRPr="00381FD5">
        <w:t>EADs)</w:t>
      </w:r>
      <w:r>
        <w:t xml:space="preserve">. </w:t>
      </w:r>
      <w:r w:rsidRPr="00C61FF2">
        <w:rPr>
          <w:i/>
          <w:iCs/>
        </w:rPr>
        <w:t>Carbon Emission Inventory for China by Sector 1997 – 2019;</w:t>
      </w:r>
      <w:r>
        <w:t xml:space="preserve"> </w:t>
      </w:r>
      <w:r w:rsidRPr="00C61FF2">
        <w:t>https://www.ceads.net.cn/data/nation/</w:t>
      </w:r>
      <w:r>
        <w:t>.</w:t>
      </w:r>
    </w:p>
    <w:p w14:paraId="17F5D4AF" w14:textId="77777777" w:rsidR="006D50D9" w:rsidRDefault="006D50D9" w:rsidP="006D50D9">
      <w:pPr>
        <w:pStyle w:val="a8"/>
        <w:numPr>
          <w:ilvl w:val="0"/>
          <w:numId w:val="2"/>
        </w:numPr>
        <w:ind w:firstLineChars="0"/>
      </w:pPr>
      <w:r>
        <w:t xml:space="preserve">National Bureau of Statistics of China (NBSC) </w:t>
      </w:r>
      <w:r w:rsidRPr="00C61FF2">
        <w:rPr>
          <w:i/>
          <w:iCs/>
        </w:rPr>
        <w:t>China Electric Power Yearbook 2020</w:t>
      </w:r>
      <w:r>
        <w:t>; (China Electric Power Press: Beijing, 2021).</w:t>
      </w:r>
    </w:p>
    <w:p w14:paraId="4CECED87" w14:textId="77777777" w:rsidR="006D50D9" w:rsidRPr="00265805" w:rsidRDefault="006D50D9" w:rsidP="006D50D9">
      <w:pPr>
        <w:pStyle w:val="a8"/>
        <w:numPr>
          <w:ilvl w:val="0"/>
          <w:numId w:val="2"/>
        </w:numPr>
        <w:ind w:firstLineChars="0"/>
      </w:pPr>
      <w:r>
        <w:t>IEA</w:t>
      </w:r>
      <w:r w:rsidRPr="00C61FF2">
        <w:rPr>
          <w:i/>
          <w:iCs/>
        </w:rPr>
        <w:t xml:space="preserve"> World Energy Outlook 2021</w:t>
      </w:r>
      <w:r>
        <w:t xml:space="preserve"> (International Energy Agency, 2021).</w:t>
      </w:r>
    </w:p>
    <w:p w14:paraId="1031A509" w14:textId="77777777" w:rsidR="00D174CF" w:rsidRPr="006D50D9" w:rsidRDefault="00D174CF"/>
    <w:sectPr w:rsidR="00D174CF" w:rsidRPr="006D5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4844" w14:textId="77777777" w:rsidR="00700D45" w:rsidRDefault="00700D45" w:rsidP="00D174CF">
      <w:r>
        <w:separator/>
      </w:r>
    </w:p>
  </w:endnote>
  <w:endnote w:type="continuationSeparator" w:id="0">
    <w:p w14:paraId="4B6CDC95" w14:textId="77777777" w:rsidR="00700D45" w:rsidRDefault="00700D45" w:rsidP="00D1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B95E" w14:textId="77777777" w:rsidR="00700D45" w:rsidRDefault="00700D45" w:rsidP="00D174CF">
      <w:r>
        <w:separator/>
      </w:r>
    </w:p>
  </w:footnote>
  <w:footnote w:type="continuationSeparator" w:id="0">
    <w:p w14:paraId="3E695C84" w14:textId="77777777" w:rsidR="00700D45" w:rsidRDefault="00700D45" w:rsidP="00D17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337A6"/>
    <w:multiLevelType w:val="multilevel"/>
    <w:tmpl w:val="CA604D60"/>
    <w:lvl w:ilvl="0">
      <w:start w:val="1"/>
      <w:numFmt w:val="decimal"/>
      <w:lvlText w:val="%1."/>
      <w:lvlJc w:val="left"/>
      <w:pPr>
        <w:ind w:left="360" w:hanging="360"/>
      </w:pPr>
      <w:rPr>
        <w:rFonts w:hint="default"/>
      </w:rPr>
    </w:lvl>
    <w:lvl w:ilvl="1">
      <w:start w:val="1"/>
      <w:numFmt w:val="decimal"/>
      <w:isLgl/>
      <w:lvlText w:val="%1.%2"/>
      <w:lvlJc w:val="left"/>
      <w:pPr>
        <w:ind w:left="448" w:hanging="4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A575230"/>
    <w:multiLevelType w:val="hybridMultilevel"/>
    <w:tmpl w:val="D6A069A4"/>
    <w:lvl w:ilvl="0" w:tplc="23C82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c0sLSwMDcwNzQzsTBV0lEKTi0uzszPAykwrAUAluEGVCwAAAA="/>
  </w:docVars>
  <w:rsids>
    <w:rsidRoot w:val="00B07C97"/>
    <w:rsid w:val="00265805"/>
    <w:rsid w:val="00311C24"/>
    <w:rsid w:val="003B2D61"/>
    <w:rsid w:val="006D50D9"/>
    <w:rsid w:val="00700D45"/>
    <w:rsid w:val="008B2DB2"/>
    <w:rsid w:val="00A00E38"/>
    <w:rsid w:val="00AB51A0"/>
    <w:rsid w:val="00B07C97"/>
    <w:rsid w:val="00BA4495"/>
    <w:rsid w:val="00C06FEA"/>
    <w:rsid w:val="00C61FF2"/>
    <w:rsid w:val="00C65CCC"/>
    <w:rsid w:val="00D174CF"/>
    <w:rsid w:val="00EE1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17848"/>
  <w15:docId w15:val="{ED892DF1-BEEC-495C-9BE0-4F31F16F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FF2"/>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A00E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C97"/>
    <w:pPr>
      <w:keepNext/>
      <w:keepLines/>
      <w:spacing w:before="260" w:after="260" w:line="416" w:lineRule="auto"/>
      <w:outlineLvl w:val="1"/>
    </w:pPr>
    <w:rPr>
      <w:rFonts w:eastAsiaTheme="majorEastAsia"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07C97"/>
    <w:rPr>
      <w:rFonts w:ascii="Times New Roman" w:eastAsiaTheme="majorEastAsia" w:hAnsi="Times New Roman" w:cstheme="majorBidi"/>
      <w:b/>
      <w:bCs/>
      <w:sz w:val="30"/>
      <w:szCs w:val="32"/>
    </w:rPr>
  </w:style>
  <w:style w:type="table" w:styleId="a3">
    <w:name w:val="Table Grid"/>
    <w:basedOn w:val="a1"/>
    <w:uiPriority w:val="39"/>
    <w:rsid w:val="00B07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174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74CF"/>
    <w:rPr>
      <w:rFonts w:ascii="Times New Roman" w:eastAsia="宋体" w:hAnsi="Times New Roman"/>
      <w:sz w:val="18"/>
      <w:szCs w:val="18"/>
    </w:rPr>
  </w:style>
  <w:style w:type="paragraph" w:styleId="a6">
    <w:name w:val="footer"/>
    <w:basedOn w:val="a"/>
    <w:link w:val="a7"/>
    <w:uiPriority w:val="99"/>
    <w:unhideWhenUsed/>
    <w:rsid w:val="00D174CF"/>
    <w:pPr>
      <w:tabs>
        <w:tab w:val="center" w:pos="4153"/>
        <w:tab w:val="right" w:pos="8306"/>
      </w:tabs>
      <w:snapToGrid w:val="0"/>
      <w:jc w:val="left"/>
    </w:pPr>
    <w:rPr>
      <w:sz w:val="18"/>
      <w:szCs w:val="18"/>
    </w:rPr>
  </w:style>
  <w:style w:type="character" w:customStyle="1" w:styleId="a7">
    <w:name w:val="页脚 字符"/>
    <w:basedOn w:val="a0"/>
    <w:link w:val="a6"/>
    <w:uiPriority w:val="99"/>
    <w:rsid w:val="00D174CF"/>
    <w:rPr>
      <w:rFonts w:ascii="Times New Roman" w:eastAsia="宋体" w:hAnsi="Times New Roman"/>
      <w:sz w:val="18"/>
      <w:szCs w:val="18"/>
    </w:rPr>
  </w:style>
  <w:style w:type="character" w:customStyle="1" w:styleId="10">
    <w:name w:val="标题 1 字符"/>
    <w:basedOn w:val="a0"/>
    <w:link w:val="1"/>
    <w:uiPriority w:val="9"/>
    <w:rsid w:val="00A00E38"/>
    <w:rPr>
      <w:rFonts w:ascii="Times New Roman" w:eastAsia="宋体" w:hAnsi="Times New Roman"/>
      <w:b/>
      <w:bCs/>
      <w:kern w:val="44"/>
      <w:sz w:val="44"/>
      <w:szCs w:val="44"/>
    </w:rPr>
  </w:style>
  <w:style w:type="paragraph" w:styleId="a8">
    <w:name w:val="List Paragraph"/>
    <w:basedOn w:val="a"/>
    <w:uiPriority w:val="34"/>
    <w:qFormat/>
    <w:rsid w:val="003B2D61"/>
    <w:pPr>
      <w:ind w:firstLineChars="200" w:firstLine="420"/>
    </w:pPr>
  </w:style>
  <w:style w:type="character" w:styleId="a9">
    <w:name w:val="Hyperlink"/>
    <w:basedOn w:val="a0"/>
    <w:uiPriority w:val="99"/>
    <w:semiHidden/>
    <w:unhideWhenUsed/>
    <w:rsid w:val="00C61FF2"/>
    <w:rPr>
      <w:color w:val="0000FF"/>
      <w:u w:val="single"/>
    </w:rPr>
  </w:style>
  <w:style w:type="paragraph" w:styleId="aa">
    <w:name w:val="Revision"/>
    <w:hidden/>
    <w:uiPriority w:val="99"/>
    <w:semiHidden/>
    <w:rsid w:val="006D50D9"/>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Zhang Yanmei</cp:lastModifiedBy>
  <cp:revision>9</cp:revision>
  <dcterms:created xsi:type="dcterms:W3CDTF">2021-12-08T08:31:00Z</dcterms:created>
  <dcterms:modified xsi:type="dcterms:W3CDTF">2022-01-30T06:36:00Z</dcterms:modified>
</cp:coreProperties>
</file>