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免费试用与订阅计费说明</w:t>
      </w:r>
    </w:p>
    <w:p>
      <w:r>
        <w:t>本说明面向使用智能客服系统的企业客户，介绍免费试用政策、订阅套餐计费方式、续费与升降级规则，以及退订与退款的处理办法。</w:t>
      </w:r>
    </w:p>
    <w:p>
      <w:pPr>
        <w:pStyle w:val="Heading1"/>
      </w:pPr>
      <w:r>
        <w:t>一、免费试用政策</w:t>
      </w:r>
    </w:p>
    <w:p>
      <w:r>
        <w:t>新注册企业账户可申请 14 天免费试用，无需绑定支付方式。试用期内可体验完整功能，但存在用量上限。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试用期限额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咨询量</w:t>
            </w:r>
          </w:p>
        </w:tc>
        <w:tc>
          <w:tcPr>
            <w:tcW w:type="dxa" w:w="2880"/>
          </w:tcPr>
          <w:p>
            <w:r>
              <w:t>2,000 次</w:t>
            </w:r>
          </w:p>
        </w:tc>
        <w:tc>
          <w:tcPr>
            <w:tcW w:type="dxa" w:w="2880"/>
          </w:tcPr>
          <w:p>
            <w:r>
              <w:t>超出后问答接口暂停，可随时升级为正式套餐</w:t>
            </w:r>
          </w:p>
        </w:tc>
      </w:tr>
      <w:tr>
        <w:tc>
          <w:tcPr>
            <w:tcW w:type="dxa" w:w="2880"/>
          </w:tcPr>
          <w:p>
            <w:r>
              <w:t>知识库容量</w:t>
            </w:r>
          </w:p>
        </w:tc>
        <w:tc>
          <w:tcPr>
            <w:tcW w:type="dxa" w:w="2880"/>
          </w:tcPr>
          <w:p>
            <w:r>
              <w:t>200 MB</w:t>
            </w:r>
          </w:p>
        </w:tc>
        <w:tc>
          <w:tcPr>
            <w:tcW w:type="dxa" w:w="2880"/>
          </w:tcPr>
          <w:p>
            <w:r>
              <w:t>单文件仍受 10MB 限制</w:t>
            </w:r>
          </w:p>
        </w:tc>
      </w:tr>
      <w:tr>
        <w:tc>
          <w:tcPr>
            <w:tcW w:type="dxa" w:w="2880"/>
          </w:tcPr>
          <w:p>
            <w:r>
              <w:t>并发用户</w:t>
            </w:r>
          </w:p>
        </w:tc>
        <w:tc>
          <w:tcPr>
            <w:tcW w:type="dxa" w:w="2880"/>
          </w:tcPr>
          <w:p>
            <w:r>
              <w:t>10 人</w:t>
            </w:r>
          </w:p>
        </w:tc>
        <w:tc>
          <w:tcPr>
            <w:tcW w:type="dxa" w:w="2880"/>
          </w:tcPr>
          <w:p>
            <w:r>
              <w:t>超出并发的请求将排队</w:t>
            </w:r>
          </w:p>
        </w:tc>
      </w:tr>
      <w:tr>
        <w:tc>
          <w:tcPr>
            <w:tcW w:type="dxa" w:w="2880"/>
          </w:tcPr>
          <w:p>
            <w:r>
              <w:t>试用时长</w:t>
            </w:r>
          </w:p>
        </w:tc>
        <w:tc>
          <w:tcPr>
            <w:tcW w:type="dxa" w:w="2880"/>
          </w:tcPr>
          <w:p>
            <w:r>
              <w:t>14 天</w:t>
            </w:r>
          </w:p>
        </w:tc>
        <w:tc>
          <w:tcPr>
            <w:tcW w:type="dxa" w:w="2880"/>
          </w:tcPr>
          <w:p>
            <w:r>
              <w:t>同一企业主体仅可申请一次</w:t>
            </w:r>
          </w:p>
        </w:tc>
      </w:tr>
    </w:tbl>
    <w:p>
      <w:pPr>
        <w:pStyle w:val="ListBullet"/>
      </w:pPr>
      <w:r>
        <w:t>试用期内产生的知识库数据在转为正式套餐后完整保留。</w:t>
      </w:r>
    </w:p>
    <w:p>
      <w:pPr>
        <w:pStyle w:val="ListBullet"/>
      </w:pPr>
      <w:r>
        <w:t>试用到期未购买的，数据保留 30 天，逾期系统将清理知识库与向量数据。</w:t>
      </w:r>
    </w:p>
    <w:p>
      <w:pPr>
        <w:pStyle w:val="Heading1"/>
      </w:pPr>
      <w:r>
        <w:t>二、订阅套餐与计费</w:t>
      </w:r>
    </w:p>
    <w:p>
      <w:r>
        <w:t>正式套餐按月或按年订阅，年付相当于按 10 个月计费，可节省两个月费用。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套餐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月付价格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年付价格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月咨询量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知识库容量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并发用户</w:t>
            </w:r>
          </w:p>
        </w:tc>
      </w:tr>
      <w:tr>
        <w:tc>
          <w:tcPr>
            <w:tcW w:type="dxa" w:w="1440"/>
          </w:tcPr>
          <w:p>
            <w:r>
              <w:t>基础版</w:t>
            </w:r>
          </w:p>
        </w:tc>
        <w:tc>
          <w:tcPr>
            <w:tcW w:type="dxa" w:w="1440"/>
          </w:tcPr>
          <w:p>
            <w:r>
              <w:t>¥2,999/月</w:t>
            </w:r>
          </w:p>
        </w:tc>
        <w:tc>
          <w:tcPr>
            <w:tcW w:type="dxa" w:w="1440"/>
          </w:tcPr>
          <w:p>
            <w:r>
              <w:t>¥29,990/年</w:t>
            </w:r>
          </w:p>
        </w:tc>
        <w:tc>
          <w:tcPr>
            <w:tcW w:type="dxa" w:w="1440"/>
          </w:tcPr>
          <w:p>
            <w:r>
              <w:t>10 万次</w:t>
            </w:r>
          </w:p>
        </w:tc>
        <w:tc>
          <w:tcPr>
            <w:tcW w:type="dxa" w:w="1440"/>
          </w:tcPr>
          <w:p>
            <w:r>
              <w:t>1 GB</w:t>
            </w:r>
          </w:p>
        </w:tc>
        <w:tc>
          <w:tcPr>
            <w:tcW w:type="dxa" w:w="1440"/>
          </w:tcPr>
          <w:p>
            <w:r>
              <w:t>50 人</w:t>
            </w:r>
          </w:p>
        </w:tc>
      </w:tr>
      <w:tr>
        <w:tc>
          <w:tcPr>
            <w:tcW w:type="dxa" w:w="1440"/>
          </w:tcPr>
          <w:p>
            <w:r>
              <w:t>专业版</w:t>
            </w:r>
          </w:p>
        </w:tc>
        <w:tc>
          <w:tcPr>
            <w:tcW w:type="dxa" w:w="1440"/>
          </w:tcPr>
          <w:p>
            <w:r>
              <w:t>¥9,999/月</w:t>
            </w:r>
          </w:p>
        </w:tc>
        <w:tc>
          <w:tcPr>
            <w:tcW w:type="dxa" w:w="1440"/>
          </w:tcPr>
          <w:p>
            <w:r>
              <w:t>¥99,990/年</w:t>
            </w:r>
          </w:p>
        </w:tc>
        <w:tc>
          <w:tcPr>
            <w:tcW w:type="dxa" w:w="1440"/>
          </w:tcPr>
          <w:p>
            <w:r>
              <w:t>50 万次</w:t>
            </w:r>
          </w:p>
        </w:tc>
        <w:tc>
          <w:tcPr>
            <w:tcW w:type="dxa" w:w="1440"/>
          </w:tcPr>
          <w:p>
            <w:r>
              <w:t>5 GB</w:t>
            </w:r>
          </w:p>
        </w:tc>
        <w:tc>
          <w:tcPr>
            <w:tcW w:type="dxa" w:w="1440"/>
          </w:tcPr>
          <w:p>
            <w:r>
              <w:t>200 人</w:t>
            </w:r>
          </w:p>
        </w:tc>
      </w:tr>
      <w:tr>
        <w:tc>
          <w:tcPr>
            <w:tcW w:type="dxa" w:w="1440"/>
          </w:tcPr>
          <w:p>
            <w:r>
              <w:t>企业版</w:t>
            </w:r>
          </w:p>
        </w:tc>
        <w:tc>
          <w:tcPr>
            <w:tcW w:type="dxa" w:w="1440"/>
          </w:tcPr>
          <w:p>
            <w:r>
              <w:t>面议</w:t>
            </w:r>
          </w:p>
        </w:tc>
        <w:tc>
          <w:tcPr>
            <w:tcW w:type="dxa" w:w="1440"/>
          </w:tcPr>
          <w:p>
            <w:r>
              <w:t>面议</w:t>
            </w:r>
          </w:p>
        </w:tc>
        <w:tc>
          <w:tcPr>
            <w:tcW w:type="dxa" w:w="1440"/>
          </w:tcPr>
          <w:p>
            <w:r>
              <w:t>不限</w:t>
            </w:r>
          </w:p>
        </w:tc>
        <w:tc>
          <w:tcPr>
            <w:tcW w:type="dxa" w:w="1440"/>
          </w:tcPr>
          <w:p>
            <w:r>
              <w:t>不限</w:t>
            </w:r>
          </w:p>
        </w:tc>
        <w:tc>
          <w:tcPr>
            <w:tcW w:type="dxa" w:w="1440"/>
          </w:tcPr>
          <w:p>
            <w:r>
              <w:t>不限</w:t>
            </w:r>
          </w:p>
        </w:tc>
      </w:tr>
    </w:tbl>
    <w:p>
      <w:pPr>
        <w:pStyle w:val="Heading1"/>
      </w:pPr>
      <w:r>
        <w:t>三、续费与自动续费</w:t>
      </w:r>
    </w:p>
    <w:p>
      <w:r>
        <w:t>订阅到期前 7 天，系统会通过邮件与站内信提醒续费。开启自动续费的账户将在到期当日按原套餐扣费。</w:t>
      </w:r>
    </w:p>
    <w:p>
      <w:pPr>
        <w:pStyle w:val="ListBullet"/>
      </w:pPr>
      <w:r>
        <w:t>可在「账户设置 - 订阅管理」中随时关闭自动续费，关闭后当前周期仍然有效。</w:t>
      </w:r>
    </w:p>
    <w:p>
      <w:pPr>
        <w:pStyle w:val="ListBullet"/>
      </w:pPr>
      <w:r>
        <w:t>扣费失败时系统会在 3 天内重试 3 次，仍失败则订阅转为过期状态。</w:t>
      </w:r>
    </w:p>
    <w:p>
      <w:pPr>
        <w:pStyle w:val="ListBullet"/>
      </w:pPr>
      <w:r>
        <w:t>订阅过期后服务暂停，数据保留 30 天，期间续费可立即恢复。</w:t>
      </w:r>
    </w:p>
    <w:p>
      <w:pPr>
        <w:pStyle w:val="Heading1"/>
      </w:pPr>
      <w:r>
        <w:t>四、升级与降级</w:t>
      </w:r>
    </w:p>
    <w:p>
      <w:pPr>
        <w:pStyle w:val="Heading2"/>
      </w:pPr>
      <w:r>
        <w:t>1. 升级</w:t>
      </w:r>
    </w:p>
    <w:p>
      <w:r>
        <w:t>升级立即生效，系统按剩余天数折算原套餐未消耗金额，抵扣新套餐费用，仅需补差价。</w:t>
      </w:r>
    </w:p>
    <w:p>
      <w:pPr>
        <w:pStyle w:val="Heading2"/>
      </w:pPr>
      <w:r>
        <w:t>2. 降级</w:t>
      </w:r>
    </w:p>
    <w:p>
      <w:r>
        <w:t>降级于当前计费周期结束后生效，当前周期内仍按原套餐提供服务，已支付费用不予退还。降级后若知识库容量超出新套餐限额，需先清理至限额以内。</w:t>
      </w:r>
    </w:p>
    <w:p>
      <w:pPr>
        <w:pStyle w:val="Heading1"/>
      </w:pPr>
      <w:r>
        <w:t>五、退订与退款</w:t>
      </w:r>
    </w:p>
    <w:p>
      <w:r>
        <w:t>订阅类服务属于虚拟服务，原则上开通后不支持退款。以下情况可申请退款：</w:t>
      </w:r>
    </w:p>
    <w:p>
      <w:pPr>
        <w:pStyle w:val="ListBullet"/>
      </w:pPr>
      <w:r>
        <w:t>购买后 7 天内且累计咨询量低于 1,000 次，可申请全额退款。</w:t>
      </w:r>
    </w:p>
    <w:p>
      <w:pPr>
        <w:pStyle w:val="ListBullet"/>
      </w:pPr>
      <w:r>
        <w:t>因平台原因导致服务连续不可用超过 72 小时的，可申请按天折算退款。</w:t>
      </w:r>
    </w:p>
    <w:p>
      <w:pPr>
        <w:pStyle w:val="ListBullet"/>
      </w:pPr>
      <w:r>
        <w:t>重复购买、错误下单的，经核实后全额退款。</w:t>
      </w:r>
    </w:p>
    <w:p>
      <w:r>
        <w:t>退款申请经审核通过后，1-3 个工作日内原路退回；企业对公转账的退款到账时间以银行处理速度为准，通常为 3-5 个工作日。</w:t>
      </w:r>
    </w:p>
    <w:p>
      <w:pPr>
        <w:pStyle w:val="Heading1"/>
      </w:pPr>
      <w:r>
        <w:t>六、发票与合同</w:t>
      </w:r>
    </w:p>
    <w:p>
      <w:r>
        <w:t>订阅费用可开具电子普通发票或增值税专用发票，年付一次性开具全年发票。企业版客户可另行签订服务合同与保密协议，请联系销售顾问。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