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CC" w:rsidRDefault="00BA0BBD" w:rsidP="00BA0BBD">
      <w:pPr>
        <w:pStyle w:val="ListParagraph"/>
        <w:numPr>
          <w:ilvl w:val="0"/>
          <w:numId w:val="1"/>
        </w:numPr>
      </w:pPr>
      <w:r>
        <w:t>Studen</w:t>
      </w:r>
      <w:bookmarkStart w:id="0" w:name="_GoBack"/>
      <w:bookmarkEnd w:id="0"/>
      <w:r>
        <w:t xml:space="preserve">t </w:t>
      </w:r>
    </w:p>
    <w:p w:rsidR="00BA0BBD" w:rsidRDefault="00BA0BBD" w:rsidP="00BA0BB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ở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:</w:t>
      </w:r>
    </w:p>
    <w:p w:rsidR="00BA0BBD" w:rsidRDefault="00BA0BBD" w:rsidP="00BA0BB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tiết</w:t>
            </w:r>
            <w:proofErr w:type="spellEnd"/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(VND) </w:t>
            </w:r>
          </w:p>
        </w:tc>
      </w:tr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PhiNH</w:t>
            </w:r>
            <w:proofErr w:type="spellEnd"/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học</w:t>
            </w:r>
            <w:proofErr w:type="spellEnd"/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4,400,000 </w:t>
            </w:r>
          </w:p>
        </w:tc>
      </w:tr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ENG1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Tiếng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Anh </w:t>
            </w:r>
            <w:proofErr w:type="spellStart"/>
            <w:r>
              <w:rPr>
                <w:rFonts w:ascii="Arial" w:hAnsi="Arial" w:cs="Arial"/>
                <w:color w:val="000000"/>
              </w:rPr>
              <w:t>dự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9,900,000 </w:t>
            </w:r>
          </w:p>
        </w:tc>
      </w:tr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…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…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…</w:t>
            </w:r>
          </w:p>
        </w:tc>
        <w:tc>
          <w:tcPr>
            <w:tcW w:w="2034" w:type="dxa"/>
            <w:vAlign w:val="bottom"/>
          </w:tcPr>
          <w:p w:rsidR="00BA0BBD" w:rsidRDefault="00BA0BBD" w:rsidP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…. </w:t>
            </w:r>
          </w:p>
        </w:tc>
      </w:tr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SEM8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Chuyên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ngành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8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24,200,000 </w:t>
            </w:r>
          </w:p>
        </w:tc>
      </w:tr>
      <w:tr w:rsidR="00BA0BBD" w:rsidTr="00BA0BBD">
        <w:tc>
          <w:tcPr>
            <w:tcW w:w="2034" w:type="dxa"/>
            <w:vAlign w:val="bottom"/>
          </w:tcPr>
          <w:p w:rsidR="00BA0BBD" w:rsidRDefault="00BA0BB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SEM9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Chuyên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ngành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9</w:t>
            </w:r>
          </w:p>
        </w:tc>
        <w:tc>
          <w:tcPr>
            <w:tcW w:w="2034" w:type="dxa"/>
            <w:vAlign w:val="bottom"/>
          </w:tcPr>
          <w:p w:rsidR="00BA0BBD" w:rsidRDefault="00BA0B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24,200,000 </w:t>
            </w:r>
          </w:p>
        </w:tc>
      </w:tr>
    </w:tbl>
    <w:p w:rsidR="00BA0BBD" w:rsidRDefault="00BA0BBD" w:rsidP="00BA0BBD"/>
    <w:p w:rsidR="00836AB0" w:rsidRDefault="00BA0BBD" w:rsidP="00BA0BB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: </w:t>
      </w:r>
      <w:proofErr w:type="spellStart"/>
      <w:r>
        <w:t>sv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836AB0">
        <w:t>i</w:t>
      </w:r>
      <w:proofErr w:type="spellEnd"/>
      <w:r w:rsidR="00836AB0">
        <w:t xml:space="preserve">, </w:t>
      </w:r>
      <w:proofErr w:type="spellStart"/>
      <w:r w:rsidR="00836AB0">
        <w:t>được</w:t>
      </w:r>
      <w:proofErr w:type="spellEnd"/>
      <w:r w:rsidR="00836AB0">
        <w:t xml:space="preserve"> </w:t>
      </w:r>
      <w:proofErr w:type="spellStart"/>
      <w:r w:rsidR="00836AB0">
        <w:t>mô</w:t>
      </w:r>
      <w:proofErr w:type="spellEnd"/>
      <w:r w:rsidR="00836AB0">
        <w:t xml:space="preserve"> </w:t>
      </w:r>
      <w:proofErr w:type="spellStart"/>
      <w:r w:rsidR="00836AB0">
        <w:t>tả</w:t>
      </w:r>
      <w:proofErr w:type="spellEnd"/>
      <w:r w:rsidR="00836AB0">
        <w:t xml:space="preserve"> </w:t>
      </w:r>
      <w:proofErr w:type="spellStart"/>
      <w:r w:rsidR="00836AB0">
        <w:t>như</w:t>
      </w:r>
      <w:proofErr w:type="spellEnd"/>
      <w:r w:rsidR="00836AB0">
        <w:t xml:space="preserve"> </w:t>
      </w:r>
      <w:proofErr w:type="spellStart"/>
      <w:r w:rsidR="00836AB0">
        <w:t>hình</w:t>
      </w:r>
      <w:proofErr w:type="spellEnd"/>
      <w:r w:rsidR="00836AB0">
        <w:t xml:space="preserve"> </w:t>
      </w:r>
      <w:proofErr w:type="spellStart"/>
      <w:r w:rsidR="00836AB0">
        <w:t>bên</w:t>
      </w:r>
      <w:proofErr w:type="spellEnd"/>
      <w:r w:rsidR="00836AB0">
        <w:t xml:space="preserve"> </w:t>
      </w:r>
      <w:proofErr w:type="spellStart"/>
      <w:r w:rsidR="00836AB0">
        <w:t>dưới</w:t>
      </w:r>
      <w:proofErr w:type="spellEnd"/>
      <w:r w:rsidR="00836AB0">
        <w:t xml:space="preserve"> : </w:t>
      </w:r>
    </w:p>
    <w:p w:rsidR="00836AB0" w:rsidRDefault="00836AB0" w:rsidP="00836AB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2518140"/>
            <wp:effectExtent l="0" t="0" r="0" b="0"/>
            <wp:docPr id="1" name="Picture 1" descr="C:\Users\VyTKSE60964\Pictures\New folder\Student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yTKSE60964\Pictures\New folder\Student_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BD" w:rsidRDefault="00836AB0" w:rsidP="00836AB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rớt</w:t>
      </w:r>
      <w:proofErr w:type="spellEnd"/>
      <w:r>
        <w:t xml:space="preserve"> I2DB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XML)</w:t>
      </w:r>
      <w:r w:rsidR="00BA0BBD">
        <w:t xml:space="preserve">  </w:t>
      </w:r>
      <w:r>
        <w:t xml:space="preserve">. </w:t>
      </w:r>
      <w:proofErr w:type="spellStart"/>
      <w:r>
        <w:t>Nội</w:t>
      </w:r>
      <w:proofErr w:type="spellEnd"/>
      <w:r>
        <w:t xml:space="preserve"> dung 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</w:t>
      </w:r>
      <w:proofErr w:type="spellStart"/>
      <w:r>
        <w:t>trên</w:t>
      </w:r>
      <w:proofErr w:type="spellEnd"/>
    </w:p>
    <w:p w:rsidR="00836AB0" w:rsidRDefault="00836AB0" w:rsidP="00836AB0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proofErr w:type="gramStart"/>
      <w:r>
        <w:t>vạy</w:t>
      </w:r>
      <w:proofErr w:type="spellEnd"/>
      <w:r>
        <w:t xml:space="preserve"> .</w:t>
      </w:r>
      <w:proofErr w:type="gramEnd"/>
    </w:p>
    <w:p w:rsidR="00836AB0" w:rsidRDefault="00836AB0" w:rsidP="00836AB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.</w:t>
      </w:r>
      <w:proofErr w:type="gramEnd"/>
    </w:p>
    <w:p w:rsidR="00836AB0" w:rsidRDefault="00836AB0" w:rsidP="00836AB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nợ</w:t>
      </w:r>
      <w:proofErr w:type="spellEnd"/>
      <w:r>
        <w:t>.</w:t>
      </w:r>
    </w:p>
    <w:p w:rsidR="00836AB0" w:rsidRDefault="00836AB0" w:rsidP="00836AB0">
      <w:pPr>
        <w:pStyle w:val="ListParagraph"/>
        <w:ind w:left="1440"/>
      </w:pPr>
    </w:p>
    <w:p w:rsidR="00BA0BBD" w:rsidRDefault="00BA0BBD" w:rsidP="00BA0BBD">
      <w:pPr>
        <w:pStyle w:val="ListParagraph"/>
        <w:ind w:left="1440"/>
      </w:pPr>
    </w:p>
    <w:p w:rsidR="00BA0BBD" w:rsidRDefault="00BA0BBD" w:rsidP="00BA0BBD">
      <w:pPr>
        <w:pStyle w:val="ListParagraph"/>
        <w:numPr>
          <w:ilvl w:val="0"/>
          <w:numId w:val="1"/>
        </w:numPr>
      </w:pPr>
      <w:r>
        <w:t>Staff</w:t>
      </w:r>
    </w:p>
    <w:p w:rsidR="00836AB0" w:rsidRDefault="00836AB0" w:rsidP="00836AB0">
      <w:pPr>
        <w:pStyle w:val="ListParagraph"/>
      </w:pPr>
      <w:r>
        <w:t xml:space="preserve">-Import file </w:t>
      </w:r>
      <w:proofErr w:type="gramStart"/>
      <w:r>
        <w:t xml:space="preserve">excel  </w:t>
      </w:r>
      <w:proofErr w:type="spellStart"/>
      <w:r>
        <w:t>hoặc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:</w:t>
      </w:r>
    </w:p>
    <w:p w:rsidR="00836AB0" w:rsidRDefault="00836AB0" w:rsidP="00836AB0">
      <w:pPr>
        <w:pStyle w:val="ListParagraph"/>
      </w:pPr>
      <w:r>
        <w:t xml:space="preserve">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836AB0" w:rsidRDefault="00836AB0" w:rsidP="00836AB0">
      <w:pPr>
        <w:pStyle w:val="ListParagraph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836AB0" w:rsidRDefault="00836AB0" w:rsidP="00836AB0">
      <w:pPr>
        <w:pStyle w:val="ListParagraph"/>
      </w:pPr>
      <w:r>
        <w:lastRenderedPageBreak/>
        <w:t xml:space="preserve"> +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836AB0" w:rsidRDefault="00836AB0" w:rsidP="00836AB0">
      <w:pPr>
        <w:pStyle w:val="ListParagraph"/>
      </w:pPr>
      <w:r>
        <w:t>+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836AB0" w:rsidRDefault="00836AB0" w:rsidP="00836AB0">
      <w:pPr>
        <w:pStyle w:val="ListParagraph"/>
      </w:pPr>
      <w:r>
        <w:t>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836AB0" w:rsidRDefault="00836AB0" w:rsidP="00836AB0">
      <w:pPr>
        <w:pStyle w:val="ListParagraph"/>
      </w:pPr>
      <w:r>
        <w:t>+</w:t>
      </w:r>
      <w:proofErr w:type="spellStart"/>
      <w:r w:rsidR="00502943">
        <w:t>Và</w:t>
      </w:r>
      <w:proofErr w:type="spellEnd"/>
      <w:r w:rsidR="00502943">
        <w:t xml:space="preserve"> </w:t>
      </w:r>
      <w:proofErr w:type="spellStart"/>
      <w:r w:rsidR="00502943">
        <w:t>một</w:t>
      </w:r>
      <w:proofErr w:type="spellEnd"/>
      <w:r w:rsidR="00502943">
        <w:t xml:space="preserve"> </w:t>
      </w:r>
      <w:proofErr w:type="spellStart"/>
      <w:r w:rsidR="00502943">
        <w:t>số</w:t>
      </w:r>
      <w:proofErr w:type="spellEnd"/>
      <w:r w:rsidR="00502943">
        <w:t xml:space="preserve"> </w:t>
      </w:r>
      <w:proofErr w:type="spellStart"/>
      <w:r w:rsidR="00502943">
        <w:t>thông</w:t>
      </w:r>
      <w:proofErr w:type="spellEnd"/>
      <w:r w:rsidR="00502943">
        <w:t xml:space="preserve"> tin </w:t>
      </w:r>
      <w:proofErr w:type="spellStart"/>
      <w:r w:rsidR="00502943">
        <w:t>khác</w:t>
      </w:r>
      <w:proofErr w:type="spellEnd"/>
    </w:p>
    <w:p w:rsidR="00502943" w:rsidRDefault="00502943" w:rsidP="00836AB0">
      <w:pPr>
        <w:pStyle w:val="ListParagraph"/>
      </w:pPr>
    </w:p>
    <w:p w:rsidR="00BA0BBD" w:rsidRDefault="00BA0BBD" w:rsidP="00BA0BBD">
      <w:pPr>
        <w:pStyle w:val="ListParagraph"/>
        <w:numPr>
          <w:ilvl w:val="0"/>
          <w:numId w:val="1"/>
        </w:numPr>
      </w:pPr>
      <w:r>
        <w:t>Manager</w:t>
      </w:r>
    </w:p>
    <w:p w:rsidR="00502943" w:rsidRDefault="00502943" w:rsidP="00502943">
      <w:pPr>
        <w:pStyle w:val="ListParagraph"/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khóa</w:t>
      </w:r>
      <w:proofErr w:type="spellEnd"/>
      <w:r>
        <w:t xml:space="preserve">). </w:t>
      </w:r>
      <w:proofErr w:type="spellStart"/>
      <w:r>
        <w:t>Ấn</w:t>
      </w:r>
      <w:proofErr w:type="spellEnd"/>
      <w:r>
        <w:t xml:space="preserve"> “Chi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 xml:space="preserve">  tin</w:t>
      </w:r>
      <w:proofErr w:type="gram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search, filter, sort …</w:t>
      </w:r>
    </w:p>
    <w:p w:rsidR="00502943" w:rsidRDefault="00502943" w:rsidP="00502943">
      <w:pPr>
        <w:pStyle w:val="ListParagraph"/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 xml:space="preserve">  tin</w:t>
      </w:r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proofErr w:type="gramStart"/>
      <w:r>
        <w:t>Ấn</w:t>
      </w:r>
      <w:proofErr w:type="spellEnd"/>
      <w:r>
        <w:t xml:space="preserve"> “Chi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Search, filter, </w:t>
      </w:r>
      <w:proofErr w:type="gramStart"/>
      <w:r>
        <w:t>sort .</w:t>
      </w:r>
      <w:proofErr w:type="gramEnd"/>
    </w:p>
    <w:p w:rsidR="00502943" w:rsidRDefault="00502943" w:rsidP="00502943">
      <w:pPr>
        <w:pStyle w:val="ListParagraph"/>
      </w:pPr>
      <w:r>
        <w:t>-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502943" w:rsidRDefault="00502943" w:rsidP="00502943">
      <w:pPr>
        <w:pStyle w:val="ListParagraph"/>
      </w:pPr>
    </w:p>
    <w:p w:rsidR="00BA0BBD" w:rsidRDefault="00BA0BBD" w:rsidP="00BA0BBD">
      <w:pPr>
        <w:pStyle w:val="ListParagraph"/>
        <w:numPr>
          <w:ilvl w:val="0"/>
          <w:numId w:val="1"/>
        </w:numPr>
      </w:pPr>
      <w:r>
        <w:t>System</w:t>
      </w:r>
    </w:p>
    <w:p w:rsidR="00502943" w:rsidRDefault="00502943" w:rsidP="00502943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Plan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502943" w:rsidRDefault="00502943" w:rsidP="00502943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(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3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:rsidR="00502943" w:rsidRDefault="00502943" w:rsidP="006C296E">
      <w:pPr>
        <w:pStyle w:val="ListParagraph"/>
        <w:ind w:left="1080"/>
      </w:pPr>
      <w:r>
        <w:t xml:space="preserve"> </w:t>
      </w:r>
    </w:p>
    <w:sectPr w:rsidR="005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760"/>
    <w:multiLevelType w:val="hybridMultilevel"/>
    <w:tmpl w:val="B38EDFD4"/>
    <w:lvl w:ilvl="0" w:tplc="4CB87CF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433044"/>
    <w:multiLevelType w:val="hybridMultilevel"/>
    <w:tmpl w:val="C1B6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12403"/>
    <w:multiLevelType w:val="hybridMultilevel"/>
    <w:tmpl w:val="9684B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BD"/>
    <w:rsid w:val="00502943"/>
    <w:rsid w:val="006C296E"/>
    <w:rsid w:val="00836AB0"/>
    <w:rsid w:val="00A55ECC"/>
    <w:rsid w:val="00B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BD"/>
    <w:pPr>
      <w:ind w:left="720"/>
      <w:contextualSpacing/>
    </w:pPr>
  </w:style>
  <w:style w:type="table" w:styleId="TableGrid">
    <w:name w:val="Table Grid"/>
    <w:basedOn w:val="TableNormal"/>
    <w:uiPriority w:val="59"/>
    <w:rsid w:val="00BA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BD"/>
    <w:pPr>
      <w:ind w:left="720"/>
      <w:contextualSpacing/>
    </w:pPr>
  </w:style>
  <w:style w:type="table" w:styleId="TableGrid">
    <w:name w:val="Table Grid"/>
    <w:basedOn w:val="TableNormal"/>
    <w:uiPriority w:val="59"/>
    <w:rsid w:val="00BA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VyTKSE60964</dc:creator>
  <cp:lastModifiedBy>VyTKSE60964</cp:lastModifiedBy>
  <cp:revision>1</cp:revision>
  <dcterms:created xsi:type="dcterms:W3CDTF">2015-09-17T09:35:00Z</dcterms:created>
  <dcterms:modified xsi:type="dcterms:W3CDTF">2015-09-17T10:28:00Z</dcterms:modified>
</cp:coreProperties>
</file>