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F042" w14:textId="77777777" w:rsidR="00247696" w:rsidRDefault="00247696" w:rsidP="00247696">
      <w:pPr>
        <w:keepNext/>
        <w:spacing w:before="1300" w:after="240" w:line="560" w:lineRule="exact"/>
        <w:ind w:firstLine="0"/>
        <w:jc w:val="center"/>
        <w:rPr>
          <w:rFonts w:ascii="宋体" w:hAnsi="宋体" w:hint="eastAsia"/>
          <w:b/>
          <w:sz w:val="32"/>
          <w:szCs w:val="32"/>
          <w:lang w:eastAsia="zh-CN"/>
        </w:rPr>
      </w:pPr>
    </w:p>
    <w:p w14:paraId="667D8424" w14:textId="42A2E446" w:rsidR="00374724" w:rsidRPr="00247696" w:rsidRDefault="007F137D" w:rsidP="00247696">
      <w:pPr>
        <w:keepNext/>
        <w:spacing w:before="1300" w:after="240" w:line="560" w:lineRule="exact"/>
        <w:ind w:firstLine="0"/>
        <w:jc w:val="center"/>
        <w:rPr>
          <w:rFonts w:ascii="宋体" w:hAnsi="宋体"/>
          <w:sz w:val="32"/>
          <w:szCs w:val="32"/>
        </w:rPr>
      </w:pPr>
      <w:r w:rsidRPr="00247696">
        <w:rPr>
          <w:rFonts w:ascii="宋体" w:hAnsi="宋体"/>
          <w:b/>
          <w:sz w:val="32"/>
          <w:szCs w:val="32"/>
        </w:rPr>
        <w:t>机器学习算法课程结业论文</w:t>
      </w:r>
    </w:p>
    <w:p w14:paraId="78434CD7" w14:textId="068A4E6D" w:rsidR="00374724" w:rsidRDefault="007F137D">
      <w:pPr>
        <w:keepNext/>
        <w:spacing w:after="880" w:line="560" w:lineRule="exact"/>
        <w:ind w:firstLine="0"/>
        <w:jc w:val="center"/>
        <w:rPr>
          <w:rFonts w:ascii="宋体" w:hAnsi="宋体"/>
          <w:b/>
          <w:sz w:val="44"/>
          <w:szCs w:val="44"/>
          <w:lang w:eastAsia="zh-CN"/>
        </w:rPr>
      </w:pPr>
      <w:r w:rsidRPr="00247696">
        <w:rPr>
          <w:rFonts w:ascii="宋体" w:hAnsi="宋体"/>
          <w:b/>
          <w:sz w:val="44"/>
          <w:szCs w:val="44"/>
        </w:rPr>
        <w:t>PCA降维对手写数字识别性能的影响研究</w:t>
      </w:r>
    </w:p>
    <w:p w14:paraId="74966ECF" w14:textId="77777777" w:rsidR="00247696" w:rsidRDefault="00247696" w:rsidP="00247696">
      <w:pPr>
        <w:keepNext/>
        <w:spacing w:after="880" w:line="560" w:lineRule="exact"/>
        <w:ind w:firstLine="0"/>
        <w:rPr>
          <w:rFonts w:ascii="宋体" w:hAnsi="宋体" w:hint="eastAsia"/>
          <w:b/>
          <w:sz w:val="44"/>
          <w:szCs w:val="44"/>
          <w:lang w:eastAsia="zh-CN"/>
        </w:rPr>
      </w:pPr>
    </w:p>
    <w:p w14:paraId="48E7C64C" w14:textId="7EA0926C" w:rsidR="00374724" w:rsidRPr="00247696" w:rsidRDefault="00374724" w:rsidP="00247696">
      <w:pPr>
        <w:keepNext/>
        <w:spacing w:after="200" w:line="440" w:lineRule="exact"/>
        <w:ind w:firstLine="0"/>
        <w:jc w:val="center"/>
        <w:rPr>
          <w:rFonts w:ascii="宋体" w:hAnsi="宋体" w:hint="eastAsia"/>
          <w:lang w:eastAsia="zh-CN"/>
        </w:rPr>
      </w:pPr>
    </w:p>
    <w:p w14:paraId="7EAF248D" w14:textId="3037E72C" w:rsidR="00374724" w:rsidRPr="00247696" w:rsidRDefault="007F137D" w:rsidP="00CB1A3E">
      <w:pPr>
        <w:keepNext/>
        <w:spacing w:after="200" w:line="440" w:lineRule="exact"/>
        <w:ind w:firstLineChars="1300" w:firstLine="3120"/>
        <w:jc w:val="both"/>
        <w:rPr>
          <w:rFonts w:ascii="宋体" w:hAnsi="宋体" w:hint="eastAsia"/>
          <w:szCs w:val="24"/>
          <w:lang w:eastAsia="zh-CN"/>
        </w:rPr>
      </w:pPr>
      <w:r w:rsidRPr="00247696">
        <w:rPr>
          <w:rFonts w:ascii="宋体" w:hAnsi="宋体"/>
          <w:szCs w:val="24"/>
        </w:rPr>
        <w:t>学院名称：</w:t>
      </w:r>
      <w:r w:rsidR="00CB1A3E" w:rsidRPr="00CB1A3E">
        <w:rPr>
          <w:rFonts w:ascii="宋体" w:hAnsi="宋体" w:hint="eastAsia"/>
          <w:szCs w:val="24"/>
          <w:u w:val="single"/>
          <w:lang w:eastAsia="zh-CN"/>
        </w:rPr>
        <w:t xml:space="preserve">      </w:t>
      </w:r>
      <w:r w:rsidR="00247696" w:rsidRPr="00CB1A3E">
        <w:rPr>
          <w:rFonts w:ascii="宋体" w:hAnsi="宋体" w:hint="eastAsia"/>
          <w:szCs w:val="24"/>
          <w:u w:val="single"/>
          <w:lang w:eastAsia="zh-CN"/>
        </w:rPr>
        <w:t>软件学院</w:t>
      </w:r>
      <w:r w:rsidR="00CB1A3E" w:rsidRPr="00CB1A3E">
        <w:rPr>
          <w:rFonts w:ascii="宋体" w:hAnsi="宋体" w:hint="eastAsia"/>
          <w:szCs w:val="24"/>
          <w:u w:val="single"/>
          <w:lang w:eastAsia="zh-CN"/>
        </w:rPr>
        <w:t xml:space="preserve"> </w:t>
      </w:r>
      <w:r w:rsidR="00CB1A3E">
        <w:rPr>
          <w:rFonts w:ascii="宋体" w:hAnsi="宋体" w:hint="eastAsia"/>
          <w:szCs w:val="24"/>
          <w:u w:val="single"/>
          <w:lang w:eastAsia="zh-CN"/>
        </w:rPr>
        <w:t xml:space="preserve">    </w:t>
      </w:r>
    </w:p>
    <w:p w14:paraId="201A3859" w14:textId="6BAC5C5F" w:rsidR="00374724" w:rsidRPr="00247696" w:rsidRDefault="007F137D" w:rsidP="00CB1A3E">
      <w:pPr>
        <w:keepNext/>
        <w:spacing w:after="200" w:line="440" w:lineRule="exact"/>
        <w:ind w:firstLineChars="1300" w:firstLine="3120"/>
        <w:jc w:val="both"/>
        <w:rPr>
          <w:rFonts w:ascii="宋体" w:hAnsi="宋体" w:hint="eastAsia"/>
          <w:szCs w:val="24"/>
          <w:lang w:eastAsia="zh-CN"/>
        </w:rPr>
      </w:pPr>
      <w:r w:rsidRPr="00247696">
        <w:rPr>
          <w:rFonts w:ascii="宋体" w:hAnsi="宋体"/>
          <w:szCs w:val="24"/>
        </w:rPr>
        <w:t>专业班级：</w:t>
      </w:r>
      <w:r w:rsidR="00CB1A3E" w:rsidRPr="00CB1A3E">
        <w:rPr>
          <w:rFonts w:ascii="宋体" w:hAnsi="宋体" w:hint="eastAsia"/>
          <w:szCs w:val="24"/>
          <w:u w:val="single"/>
          <w:lang w:eastAsia="zh-CN"/>
        </w:rPr>
        <w:t xml:space="preserve">     </w:t>
      </w:r>
      <w:r w:rsidR="00247696" w:rsidRPr="00CB1A3E">
        <w:rPr>
          <w:rFonts w:ascii="宋体" w:hAnsi="宋体" w:hint="eastAsia"/>
          <w:szCs w:val="24"/>
          <w:u w:val="single"/>
          <w:lang w:eastAsia="zh-CN"/>
        </w:rPr>
        <w:t>软件2602</w:t>
      </w:r>
      <w:r w:rsidR="00CB1A3E" w:rsidRPr="00CB1A3E">
        <w:rPr>
          <w:rFonts w:ascii="宋体" w:hAnsi="宋体" w:hint="eastAsia"/>
          <w:szCs w:val="24"/>
          <w:u w:val="single"/>
          <w:lang w:eastAsia="zh-CN"/>
        </w:rPr>
        <w:t xml:space="preserve">     </w:t>
      </w:r>
      <w:r w:rsidR="00CB1A3E">
        <w:rPr>
          <w:rFonts w:ascii="宋体" w:hAnsi="宋体" w:hint="eastAsia"/>
          <w:szCs w:val="24"/>
          <w:u w:val="single"/>
          <w:lang w:eastAsia="zh-CN"/>
        </w:rPr>
        <w:t xml:space="preserve"> </w:t>
      </w:r>
      <w:r w:rsidR="00CB1A3E">
        <w:rPr>
          <w:rFonts w:ascii="宋体" w:hAnsi="宋体" w:hint="eastAsia"/>
          <w:szCs w:val="24"/>
          <w:lang w:eastAsia="zh-CN"/>
        </w:rPr>
        <w:t xml:space="preserve">  </w:t>
      </w:r>
    </w:p>
    <w:p w14:paraId="28F08361" w14:textId="057FEFE6" w:rsidR="00374724" w:rsidRPr="00CB1A3E" w:rsidRDefault="007F137D" w:rsidP="00CB1A3E">
      <w:pPr>
        <w:keepNext/>
        <w:spacing w:after="200" w:line="440" w:lineRule="exact"/>
        <w:ind w:firstLineChars="1300" w:firstLine="3120"/>
        <w:jc w:val="both"/>
        <w:rPr>
          <w:rFonts w:ascii="宋体" w:hAnsi="宋体" w:hint="eastAsia"/>
          <w:szCs w:val="24"/>
          <w:u w:val="single"/>
          <w:lang w:eastAsia="zh-CN"/>
        </w:rPr>
      </w:pPr>
      <w:r w:rsidRPr="00247696">
        <w:rPr>
          <w:rFonts w:ascii="宋体" w:hAnsi="宋体"/>
          <w:szCs w:val="24"/>
        </w:rPr>
        <w:t>姓</w:t>
      </w:r>
      <w:r w:rsidR="00247696">
        <w:rPr>
          <w:rFonts w:ascii="宋体" w:hAnsi="宋体" w:hint="eastAsia"/>
          <w:szCs w:val="24"/>
          <w:lang w:eastAsia="zh-CN"/>
        </w:rPr>
        <w:t xml:space="preserve">    </w:t>
      </w:r>
      <w:r w:rsidRPr="00247696">
        <w:rPr>
          <w:rFonts w:ascii="宋体" w:hAnsi="宋体"/>
          <w:szCs w:val="24"/>
        </w:rPr>
        <w:t>名：</w:t>
      </w:r>
      <w:r w:rsidR="00CB1A3E" w:rsidRPr="00CB1A3E">
        <w:rPr>
          <w:rFonts w:ascii="宋体" w:hAnsi="宋体" w:hint="eastAsia"/>
          <w:szCs w:val="24"/>
          <w:u w:val="single"/>
          <w:lang w:eastAsia="zh-CN"/>
        </w:rPr>
        <w:t xml:space="preserve">       </w:t>
      </w:r>
      <w:r w:rsidR="00247696" w:rsidRPr="00CB1A3E">
        <w:rPr>
          <w:rFonts w:ascii="宋体" w:hAnsi="宋体" w:hint="eastAsia"/>
          <w:szCs w:val="24"/>
          <w:u w:val="single"/>
          <w:lang w:eastAsia="zh-CN"/>
        </w:rPr>
        <w:t>曹顺鑫</w:t>
      </w:r>
      <w:r w:rsidR="00CB1A3E" w:rsidRPr="00CB1A3E">
        <w:rPr>
          <w:rFonts w:ascii="宋体" w:hAnsi="宋体" w:hint="eastAsia"/>
          <w:szCs w:val="24"/>
          <w:u w:val="single"/>
          <w:lang w:eastAsia="zh-CN"/>
        </w:rPr>
        <w:t xml:space="preserve">     </w:t>
      </w:r>
      <w:r w:rsidR="00CB1A3E">
        <w:rPr>
          <w:rFonts w:ascii="宋体" w:hAnsi="宋体" w:hint="eastAsia"/>
          <w:szCs w:val="24"/>
          <w:u w:val="single"/>
          <w:lang w:eastAsia="zh-CN"/>
        </w:rPr>
        <w:t xml:space="preserve"> </w:t>
      </w:r>
    </w:p>
    <w:p w14:paraId="2DECD9EF" w14:textId="027A6EF3" w:rsidR="00374724" w:rsidRPr="00247696" w:rsidRDefault="007F137D" w:rsidP="00CB1A3E">
      <w:pPr>
        <w:keepNext/>
        <w:spacing w:after="200" w:line="440" w:lineRule="exact"/>
        <w:ind w:firstLineChars="1300" w:firstLine="3120"/>
        <w:jc w:val="both"/>
        <w:rPr>
          <w:rFonts w:ascii="宋体" w:hAnsi="宋体" w:hint="eastAsia"/>
          <w:szCs w:val="24"/>
          <w:lang w:eastAsia="zh-CN"/>
        </w:rPr>
      </w:pPr>
      <w:r w:rsidRPr="00247696">
        <w:rPr>
          <w:rFonts w:ascii="宋体" w:hAnsi="宋体"/>
          <w:szCs w:val="24"/>
        </w:rPr>
        <w:t>学</w:t>
      </w:r>
      <w:r w:rsidR="00247696">
        <w:rPr>
          <w:rFonts w:ascii="宋体" w:hAnsi="宋体" w:hint="eastAsia"/>
          <w:szCs w:val="24"/>
          <w:lang w:eastAsia="zh-CN"/>
        </w:rPr>
        <w:t xml:space="preserve">    </w:t>
      </w:r>
      <w:r w:rsidRPr="00247696">
        <w:rPr>
          <w:rFonts w:ascii="宋体" w:hAnsi="宋体"/>
          <w:szCs w:val="24"/>
        </w:rPr>
        <w:t>号：</w:t>
      </w:r>
      <w:r w:rsidR="00CB1A3E" w:rsidRPr="00CB1A3E">
        <w:rPr>
          <w:rFonts w:ascii="宋体" w:hAnsi="宋体" w:hint="eastAsia"/>
          <w:szCs w:val="24"/>
          <w:u w:val="single"/>
          <w:lang w:eastAsia="zh-CN"/>
        </w:rPr>
        <w:t xml:space="preserve">     </w:t>
      </w:r>
      <w:r w:rsidR="00247696" w:rsidRPr="00CB1A3E">
        <w:rPr>
          <w:rFonts w:ascii="宋体" w:hAnsi="宋体" w:hint="eastAsia"/>
          <w:szCs w:val="24"/>
          <w:u w:val="single"/>
          <w:lang w:eastAsia="zh-CN"/>
        </w:rPr>
        <w:t>M202677203</w:t>
      </w:r>
      <w:r w:rsidR="00CB1A3E" w:rsidRPr="00CB1A3E">
        <w:rPr>
          <w:rFonts w:ascii="宋体" w:hAnsi="宋体" w:hint="eastAsia"/>
          <w:szCs w:val="24"/>
          <w:u w:val="single"/>
          <w:lang w:eastAsia="zh-CN"/>
        </w:rPr>
        <w:t xml:space="preserve">    </w:t>
      </w:r>
      <w:r w:rsidR="00CB1A3E">
        <w:rPr>
          <w:rFonts w:ascii="宋体" w:hAnsi="宋体" w:hint="eastAsia"/>
          <w:szCs w:val="24"/>
          <w:lang w:eastAsia="zh-CN"/>
        </w:rPr>
        <w:t xml:space="preserve"> </w:t>
      </w:r>
    </w:p>
    <w:p w14:paraId="0672377C" w14:textId="14E57703" w:rsidR="00374724" w:rsidRPr="00247696" w:rsidRDefault="007F137D" w:rsidP="00247696">
      <w:pPr>
        <w:spacing w:line="440" w:lineRule="exact"/>
        <w:ind w:firstLine="0"/>
        <w:jc w:val="both"/>
        <w:rPr>
          <w:rFonts w:ascii="宋体" w:hAnsi="宋体"/>
        </w:rPr>
      </w:pPr>
      <w:r w:rsidRPr="00247696">
        <w:rPr>
          <w:rFonts w:ascii="宋体" w:hAnsi="宋体"/>
        </w:rPr>
        <w:br/>
      </w:r>
    </w:p>
    <w:p w14:paraId="12C5BB94" w14:textId="77777777" w:rsidR="00CB1A3E" w:rsidRDefault="00CB1A3E">
      <w:pPr>
        <w:pStyle w:val="21"/>
        <w:overflowPunct w:val="0"/>
        <w:autoSpaceDE w:val="0"/>
        <w:autoSpaceDN w:val="0"/>
        <w:snapToGrid w:val="0"/>
        <w:rPr>
          <w:rFonts w:ascii="宋体" w:eastAsia="宋体" w:hAnsi="宋体"/>
          <w:lang w:eastAsia="zh-CN"/>
        </w:rPr>
      </w:pPr>
    </w:p>
    <w:p w14:paraId="6815538E" w14:textId="77777777" w:rsidR="00CB1A3E" w:rsidRDefault="00CB1A3E">
      <w:pPr>
        <w:pStyle w:val="21"/>
        <w:overflowPunct w:val="0"/>
        <w:autoSpaceDE w:val="0"/>
        <w:autoSpaceDN w:val="0"/>
        <w:snapToGrid w:val="0"/>
        <w:rPr>
          <w:rFonts w:ascii="宋体" w:eastAsia="宋体" w:hAnsi="宋体" w:hint="eastAsia"/>
          <w:lang w:eastAsia="zh-CN"/>
        </w:rPr>
      </w:pPr>
    </w:p>
    <w:p w14:paraId="3C926636" w14:textId="5767F770" w:rsidR="00CB1A3E" w:rsidRPr="00CB1A3E" w:rsidRDefault="00CB1A3E" w:rsidP="00CB1A3E">
      <w:pPr>
        <w:spacing w:after="200" w:line="276" w:lineRule="auto"/>
        <w:ind w:firstLine="0"/>
        <w:rPr>
          <w:rFonts w:ascii="宋体" w:hAnsi="宋体" w:cstheme="majorBidi" w:hint="eastAsia"/>
          <w:b/>
          <w:bCs/>
          <w:szCs w:val="26"/>
          <w:lang w:eastAsia="zh-CN"/>
        </w:rPr>
      </w:pPr>
      <w:r>
        <w:rPr>
          <w:rFonts w:ascii="宋体" w:hAnsi="宋体" w:hint="eastAsia"/>
          <w:lang w:eastAsia="zh-CN"/>
        </w:rPr>
        <w:br w:type="page"/>
      </w:r>
    </w:p>
    <w:p w14:paraId="23A00AA9" w14:textId="15336919" w:rsidR="00374724" w:rsidRPr="00CB1A3E" w:rsidRDefault="007F137D">
      <w:pPr>
        <w:pStyle w:val="21"/>
        <w:overflowPunct w:val="0"/>
        <w:autoSpaceDE w:val="0"/>
        <w:autoSpaceDN w:val="0"/>
        <w:snapToGrid w:val="0"/>
        <w:rPr>
          <w:rFonts w:ascii="宋体" w:eastAsia="宋体" w:hAnsi="宋体"/>
          <w:sz w:val="28"/>
          <w:szCs w:val="28"/>
        </w:rPr>
      </w:pPr>
      <w:bookmarkStart w:id="0" w:name="_Toc242559100"/>
      <w:r w:rsidRPr="00CB1A3E">
        <w:rPr>
          <w:rFonts w:ascii="宋体" w:eastAsia="宋体" w:hAnsi="宋体"/>
          <w:sz w:val="28"/>
          <w:szCs w:val="28"/>
        </w:rPr>
        <w:lastRenderedPageBreak/>
        <w:t>摘要</w:t>
      </w:r>
      <w:bookmarkEnd w:id="0"/>
    </w:p>
    <w:p w14:paraId="4DC5B1F0" w14:textId="77777777" w:rsidR="00374724" w:rsidRDefault="007F137D">
      <w:pPr>
        <w:overflowPunct w:val="0"/>
        <w:autoSpaceDE w:val="0"/>
        <w:autoSpaceDN w:val="0"/>
        <w:snapToGrid w:val="0"/>
        <w:rPr>
          <w:rFonts w:ascii="宋体" w:hAnsi="宋体"/>
          <w:lang w:eastAsia="zh-CN"/>
        </w:rPr>
      </w:pPr>
      <w:r w:rsidRPr="00247696">
        <w:rPr>
          <w:rFonts w:ascii="宋体" w:hAnsi="宋体"/>
        </w:rPr>
        <w:t>本文针对低分辨率手写数字图像分类，研究主成分分析（PCA）与径向基函数支持向量机（RBF-SVM）组合时的表示压缩与分类性能权衡。在scikit-learn提供的1797个8×8数字图像上，采用固定随机种子的分层划分，将1347个样本用于训练、450个样本用于测试。以标准化RBF-SVM为基线，在训练集五折交叉验证内联合选择PCA保留方差比例与分类器参数，并补充固定分类器参数的降维消融实验。结果显示，基线与联合调参的PCA方案在同一测试集上均正确识别442个样本，准确率为98.22%，宏平均F1为98.21%。PCA方案保留54个主成分，维度减少15.63%，但未观察到测试指标改善。固定分类器参数后，80%、90%、95%和99%方差阈值对应的交叉验证准确率分别为97.40%、97.85%、98.07%和98.37%，说明较强压缩可能损失分类所需的信息。本文据此区分降维收益、模型选择收益与统计不确定性，并给出适用范围和复现说明。</w:t>
      </w:r>
    </w:p>
    <w:p w14:paraId="720FDCF3" w14:textId="77777777" w:rsidR="00CB1A3E" w:rsidRPr="00247696" w:rsidRDefault="00CB1A3E">
      <w:pPr>
        <w:overflowPunct w:val="0"/>
        <w:autoSpaceDE w:val="0"/>
        <w:autoSpaceDN w:val="0"/>
        <w:snapToGrid w:val="0"/>
        <w:rPr>
          <w:rFonts w:ascii="宋体" w:hAnsi="宋体" w:hint="eastAsia"/>
          <w:lang w:eastAsia="zh-CN"/>
        </w:rPr>
      </w:pPr>
    </w:p>
    <w:p w14:paraId="34481509" w14:textId="51578677" w:rsidR="00CB1A3E" w:rsidRDefault="007F137D">
      <w:pPr>
        <w:overflowPunct w:val="0"/>
        <w:autoSpaceDE w:val="0"/>
        <w:autoSpaceDN w:val="0"/>
        <w:snapToGrid w:val="0"/>
        <w:spacing w:after="80"/>
        <w:ind w:firstLine="0"/>
        <w:rPr>
          <w:rFonts w:ascii="宋体" w:hAnsi="宋体" w:hint="eastAsia"/>
        </w:rPr>
      </w:pPr>
      <w:r w:rsidRPr="00247696">
        <w:rPr>
          <w:rFonts w:ascii="宋体" w:hAnsi="宋体"/>
        </w:rPr>
        <w:t>关键词：监督学习；手写数字识别；主成分分析；支持向量机；消融实验</w:t>
      </w:r>
    </w:p>
    <w:p w14:paraId="25CE5248" w14:textId="77777777" w:rsidR="00CB1A3E" w:rsidRDefault="00CB1A3E">
      <w:pPr>
        <w:spacing w:after="200" w:line="276" w:lineRule="auto"/>
        <w:ind w:firstLine="0"/>
        <w:rPr>
          <w:rFonts w:ascii="宋体" w:hAnsi="宋体" w:hint="eastAsia"/>
        </w:rPr>
      </w:pPr>
      <w:r>
        <w:rPr>
          <w:rFonts w:ascii="宋体" w:hAnsi="宋体" w:hint="eastAsia"/>
        </w:rPr>
        <w:br w:type="page"/>
      </w:r>
    </w:p>
    <w:sdt>
      <w:sdtPr>
        <w:rPr>
          <w:lang w:val="zh-CN" w:eastAsia="zh-CN"/>
        </w:rPr>
        <w:id w:val="263893309"/>
        <w:docPartObj>
          <w:docPartGallery w:val="Table of Contents"/>
          <w:docPartUnique/>
        </w:docPartObj>
      </w:sdtPr>
      <w:sdtEndPr>
        <w:rPr>
          <w:rFonts w:ascii="宋体" w:eastAsia="宋体" w:hAnsi="宋体" w:cstheme="minorBidi"/>
          <w:sz w:val="24"/>
          <w:szCs w:val="22"/>
          <w:lang w:eastAsia="en-US"/>
        </w:rPr>
      </w:sdtEndPr>
      <w:sdtContent>
        <w:p w14:paraId="7A638C66" w14:textId="2CC1ACF2" w:rsidR="00CB1A3E" w:rsidRPr="00CB1A3E" w:rsidRDefault="00CB1A3E">
          <w:pPr>
            <w:pStyle w:val="TOC"/>
            <w:rPr>
              <w:rFonts w:ascii="宋体" w:eastAsia="宋体" w:hAnsi="宋体" w:hint="eastAsia"/>
            </w:rPr>
          </w:pPr>
          <w:r w:rsidRPr="00CB1A3E">
            <w:rPr>
              <w:rFonts w:ascii="宋体" w:eastAsia="宋体" w:hAnsi="宋体"/>
              <w:lang w:val="zh-CN" w:eastAsia="zh-CN"/>
            </w:rPr>
            <w:t>目</w:t>
          </w:r>
          <w:r w:rsidRPr="00CB1A3E">
            <w:rPr>
              <w:rFonts w:ascii="宋体" w:eastAsia="宋体" w:hAnsi="宋体" w:cs="微软雅黑" w:hint="eastAsia"/>
              <w:lang w:val="zh-CN" w:eastAsia="zh-CN"/>
            </w:rPr>
            <w:t>录</w:t>
          </w:r>
        </w:p>
        <w:p w14:paraId="01D61A85" w14:textId="525FD0DF" w:rsidR="00CB1A3E" w:rsidRPr="00CB1A3E" w:rsidRDefault="00CB1A3E" w:rsidP="00CB1A3E">
          <w:pPr>
            <w:pStyle w:val="TOC2"/>
            <w:tabs>
              <w:tab w:val="right" w:leader="dot" w:pos="9062"/>
            </w:tabs>
            <w:ind w:leftChars="0" w:left="0" w:firstLineChars="300" w:firstLine="720"/>
            <w:rPr>
              <w:rFonts w:ascii="宋体" w:hAnsi="宋体" w:hint="eastAsia"/>
              <w:noProof/>
            </w:rPr>
          </w:pPr>
          <w:r w:rsidRPr="00CB1A3E">
            <w:rPr>
              <w:rFonts w:ascii="宋体" w:hAnsi="宋体"/>
            </w:rPr>
            <w:fldChar w:fldCharType="begin"/>
          </w:r>
          <w:r w:rsidRPr="00CB1A3E">
            <w:rPr>
              <w:rFonts w:ascii="宋体" w:hAnsi="宋体"/>
            </w:rPr>
            <w:instrText xml:space="preserve"> TOC \o "1-3" \h \z \u </w:instrText>
          </w:r>
          <w:r w:rsidRPr="00CB1A3E">
            <w:rPr>
              <w:rFonts w:ascii="宋体" w:hAnsi="宋体" w:hint="eastAsia"/>
            </w:rPr>
            <w:fldChar w:fldCharType="separate"/>
          </w:r>
          <w:hyperlink w:anchor="_Toc242559100" w:history="1">
            <w:r w:rsidRPr="00CB1A3E">
              <w:rPr>
                <w:rStyle w:val="aff9"/>
                <w:rFonts w:ascii="宋体" w:hAnsi="宋体"/>
                <w:noProof/>
              </w:rPr>
              <w:t>摘要</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_Toc242559100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2</w:t>
            </w:r>
            <w:r w:rsidRPr="00CB1A3E">
              <w:rPr>
                <w:rFonts w:ascii="宋体" w:hAnsi="宋体" w:hint="eastAsia"/>
                <w:noProof/>
                <w:webHidden/>
              </w:rPr>
              <w:fldChar w:fldCharType="end"/>
            </w:r>
          </w:hyperlink>
        </w:p>
        <w:p w14:paraId="0DC40915" w14:textId="764579AE" w:rsidR="00CB1A3E" w:rsidRPr="00CB1A3E" w:rsidRDefault="00CB1A3E">
          <w:pPr>
            <w:pStyle w:val="TOC1"/>
            <w:tabs>
              <w:tab w:val="right" w:leader="dot" w:pos="9062"/>
            </w:tabs>
            <w:rPr>
              <w:rFonts w:ascii="宋体" w:hAnsi="宋体" w:hint="eastAsia"/>
              <w:noProof/>
            </w:rPr>
          </w:pPr>
          <w:hyperlink w:anchor="_Toc242559101" w:history="1">
            <w:r w:rsidRPr="00CB1A3E">
              <w:rPr>
                <w:rStyle w:val="aff9"/>
                <w:rFonts w:ascii="宋体" w:hAnsi="宋体"/>
                <w:noProof/>
              </w:rPr>
              <w:t>1 引言</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_Toc242559101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4</w:t>
            </w:r>
            <w:r w:rsidRPr="00CB1A3E">
              <w:rPr>
                <w:rFonts w:ascii="宋体" w:hAnsi="宋体" w:hint="eastAsia"/>
                <w:noProof/>
                <w:webHidden/>
              </w:rPr>
              <w:fldChar w:fldCharType="end"/>
            </w:r>
          </w:hyperlink>
        </w:p>
        <w:p w14:paraId="349D16EA" w14:textId="2FC8A14C" w:rsidR="00CB1A3E" w:rsidRPr="00CB1A3E" w:rsidRDefault="00CB1A3E">
          <w:pPr>
            <w:pStyle w:val="TOC1"/>
            <w:tabs>
              <w:tab w:val="right" w:leader="dot" w:pos="9062"/>
            </w:tabs>
            <w:rPr>
              <w:rFonts w:ascii="宋体" w:hAnsi="宋体" w:hint="eastAsia"/>
              <w:noProof/>
            </w:rPr>
          </w:pPr>
          <w:hyperlink w:anchor="_Toc242559102" w:history="1">
            <w:r w:rsidRPr="00CB1A3E">
              <w:rPr>
                <w:rStyle w:val="aff9"/>
                <w:rFonts w:ascii="宋体" w:hAnsi="宋体"/>
                <w:noProof/>
              </w:rPr>
              <w:t>2 相关工作</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_Toc242559102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4</w:t>
            </w:r>
            <w:r w:rsidRPr="00CB1A3E">
              <w:rPr>
                <w:rFonts w:ascii="宋体" w:hAnsi="宋体" w:hint="eastAsia"/>
                <w:noProof/>
                <w:webHidden/>
              </w:rPr>
              <w:fldChar w:fldCharType="end"/>
            </w:r>
          </w:hyperlink>
        </w:p>
        <w:p w14:paraId="0984E6E7" w14:textId="4D524B7A" w:rsidR="00CB1A3E" w:rsidRPr="00CB1A3E" w:rsidRDefault="00CB1A3E">
          <w:pPr>
            <w:pStyle w:val="TOC2"/>
            <w:tabs>
              <w:tab w:val="right" w:leader="dot" w:pos="9062"/>
            </w:tabs>
            <w:ind w:left="480"/>
            <w:rPr>
              <w:rFonts w:ascii="宋体" w:hAnsi="宋体" w:hint="eastAsia"/>
              <w:noProof/>
            </w:rPr>
          </w:pPr>
          <w:hyperlink w:anchor="_Toc242559103" w:history="1">
            <w:r w:rsidRPr="00CB1A3E">
              <w:rPr>
                <w:rStyle w:val="aff9"/>
                <w:rFonts w:ascii="宋体" w:hAnsi="宋体"/>
                <w:noProof/>
              </w:rPr>
              <w:t>2.1 支持向量机与非线性分类</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_Toc242559103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4</w:t>
            </w:r>
            <w:r w:rsidRPr="00CB1A3E">
              <w:rPr>
                <w:rFonts w:ascii="宋体" w:hAnsi="宋体" w:hint="eastAsia"/>
                <w:noProof/>
                <w:webHidden/>
              </w:rPr>
              <w:fldChar w:fldCharType="end"/>
            </w:r>
          </w:hyperlink>
        </w:p>
        <w:p w14:paraId="4A9AE1DE" w14:textId="004A94FE" w:rsidR="00CB1A3E" w:rsidRPr="00CB1A3E" w:rsidRDefault="00CB1A3E">
          <w:pPr>
            <w:pStyle w:val="TOC2"/>
            <w:tabs>
              <w:tab w:val="right" w:leader="dot" w:pos="9062"/>
            </w:tabs>
            <w:ind w:left="480"/>
            <w:rPr>
              <w:rFonts w:ascii="宋体" w:hAnsi="宋体" w:hint="eastAsia"/>
              <w:noProof/>
            </w:rPr>
          </w:pPr>
          <w:hyperlink w:anchor="_Toc242559104" w:history="1">
            <w:r w:rsidRPr="00CB1A3E">
              <w:rPr>
                <w:rStyle w:val="aff9"/>
                <w:rFonts w:ascii="宋体" w:hAnsi="宋体"/>
                <w:noProof/>
              </w:rPr>
              <w:t>2.2 主成分分析与信息保留</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_Toc242559104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5</w:t>
            </w:r>
            <w:r w:rsidRPr="00CB1A3E">
              <w:rPr>
                <w:rFonts w:ascii="宋体" w:hAnsi="宋体" w:hint="eastAsia"/>
                <w:noProof/>
                <w:webHidden/>
              </w:rPr>
              <w:fldChar w:fldCharType="end"/>
            </w:r>
          </w:hyperlink>
        </w:p>
        <w:p w14:paraId="32D7D319" w14:textId="3C58B72C" w:rsidR="00CB1A3E" w:rsidRPr="00CB1A3E" w:rsidRDefault="00CB1A3E">
          <w:pPr>
            <w:pStyle w:val="TOC2"/>
            <w:tabs>
              <w:tab w:val="right" w:leader="dot" w:pos="9062"/>
            </w:tabs>
            <w:ind w:left="480"/>
            <w:rPr>
              <w:rFonts w:ascii="宋体" w:hAnsi="宋体" w:hint="eastAsia"/>
              <w:noProof/>
            </w:rPr>
          </w:pPr>
          <w:hyperlink w:anchor="_Toc242559105" w:history="1">
            <w:r w:rsidRPr="00CB1A3E">
              <w:rPr>
                <w:rStyle w:val="aff9"/>
                <w:rFonts w:ascii="宋体" w:hAnsi="宋体"/>
                <w:noProof/>
              </w:rPr>
              <w:t>2.3 数据来源与本文定位</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_Toc242559105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5</w:t>
            </w:r>
            <w:r w:rsidRPr="00CB1A3E">
              <w:rPr>
                <w:rFonts w:ascii="宋体" w:hAnsi="宋体" w:hint="eastAsia"/>
                <w:noProof/>
                <w:webHidden/>
              </w:rPr>
              <w:fldChar w:fldCharType="end"/>
            </w:r>
          </w:hyperlink>
        </w:p>
        <w:p w14:paraId="1CCA2A92" w14:textId="3DDF0B29" w:rsidR="00CB1A3E" w:rsidRPr="00CB1A3E" w:rsidRDefault="00CB1A3E">
          <w:pPr>
            <w:pStyle w:val="TOC1"/>
            <w:tabs>
              <w:tab w:val="right" w:leader="dot" w:pos="9062"/>
            </w:tabs>
            <w:rPr>
              <w:rFonts w:ascii="宋体" w:hAnsi="宋体" w:hint="eastAsia"/>
              <w:noProof/>
            </w:rPr>
          </w:pPr>
          <w:hyperlink w:anchor="_Toc242559106" w:history="1">
            <w:r w:rsidRPr="00CB1A3E">
              <w:rPr>
                <w:rStyle w:val="aff9"/>
                <w:rFonts w:ascii="宋体" w:hAnsi="宋体"/>
                <w:noProof/>
              </w:rPr>
              <w:t>3 方法</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_Toc242559106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5</w:t>
            </w:r>
            <w:r w:rsidRPr="00CB1A3E">
              <w:rPr>
                <w:rFonts w:ascii="宋体" w:hAnsi="宋体" w:hint="eastAsia"/>
                <w:noProof/>
                <w:webHidden/>
              </w:rPr>
              <w:fldChar w:fldCharType="end"/>
            </w:r>
          </w:hyperlink>
        </w:p>
        <w:p w14:paraId="12CFD744" w14:textId="3721858C" w:rsidR="00CB1A3E" w:rsidRPr="00CB1A3E" w:rsidRDefault="00CB1A3E">
          <w:pPr>
            <w:pStyle w:val="TOC2"/>
            <w:tabs>
              <w:tab w:val="right" w:leader="dot" w:pos="9062"/>
            </w:tabs>
            <w:ind w:left="480"/>
            <w:rPr>
              <w:rFonts w:ascii="宋体" w:hAnsi="宋体" w:hint="eastAsia"/>
              <w:noProof/>
            </w:rPr>
          </w:pPr>
          <w:hyperlink w:anchor="_Toc242559107" w:history="1">
            <w:r w:rsidRPr="00CB1A3E">
              <w:rPr>
                <w:rStyle w:val="aff9"/>
                <w:rFonts w:ascii="宋体" w:hAnsi="宋体"/>
                <w:noProof/>
              </w:rPr>
              <w:t>3.1 任务定义与整体流程</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_Toc242559107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5</w:t>
            </w:r>
            <w:r w:rsidRPr="00CB1A3E">
              <w:rPr>
                <w:rFonts w:ascii="宋体" w:hAnsi="宋体" w:hint="eastAsia"/>
                <w:noProof/>
                <w:webHidden/>
              </w:rPr>
              <w:fldChar w:fldCharType="end"/>
            </w:r>
          </w:hyperlink>
        </w:p>
        <w:p w14:paraId="4A821655" w14:textId="3E4F8281" w:rsidR="00CB1A3E" w:rsidRPr="00CB1A3E" w:rsidRDefault="00CB1A3E">
          <w:pPr>
            <w:pStyle w:val="TOC2"/>
            <w:tabs>
              <w:tab w:val="right" w:leader="dot" w:pos="9062"/>
            </w:tabs>
            <w:ind w:left="480"/>
            <w:rPr>
              <w:rFonts w:ascii="宋体" w:hAnsi="宋体" w:hint="eastAsia"/>
              <w:noProof/>
            </w:rPr>
          </w:pPr>
          <w:hyperlink w:anchor="_Toc242559108" w:history="1">
            <w:r w:rsidRPr="00CB1A3E">
              <w:rPr>
                <w:rStyle w:val="aff9"/>
                <w:rFonts w:ascii="宋体" w:hAnsi="宋体"/>
                <w:noProof/>
              </w:rPr>
              <w:t>3.2 标准化与零方差特征</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_Toc242559108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6</w:t>
            </w:r>
            <w:r w:rsidRPr="00CB1A3E">
              <w:rPr>
                <w:rFonts w:ascii="宋体" w:hAnsi="宋体" w:hint="eastAsia"/>
                <w:noProof/>
                <w:webHidden/>
              </w:rPr>
              <w:fldChar w:fldCharType="end"/>
            </w:r>
          </w:hyperlink>
        </w:p>
        <w:p w14:paraId="7B9F916B" w14:textId="57E8CC05" w:rsidR="00CB1A3E" w:rsidRPr="00CB1A3E" w:rsidRDefault="00CB1A3E">
          <w:pPr>
            <w:pStyle w:val="TOC2"/>
            <w:tabs>
              <w:tab w:val="right" w:leader="dot" w:pos="9062"/>
            </w:tabs>
            <w:ind w:left="480"/>
            <w:rPr>
              <w:rFonts w:ascii="宋体" w:hAnsi="宋体" w:hint="eastAsia"/>
              <w:noProof/>
            </w:rPr>
          </w:pPr>
          <w:hyperlink w:anchor="_Toc242559109" w:history="1">
            <w:r w:rsidRPr="00CB1A3E">
              <w:rPr>
                <w:rStyle w:val="aff9"/>
                <w:rFonts w:ascii="宋体" w:hAnsi="宋体"/>
                <w:noProof/>
              </w:rPr>
              <w:t>3.3 基于方差阈值的PCA压缩</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_Toc242559109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6</w:t>
            </w:r>
            <w:r w:rsidRPr="00CB1A3E">
              <w:rPr>
                <w:rFonts w:ascii="宋体" w:hAnsi="宋体" w:hint="eastAsia"/>
                <w:noProof/>
                <w:webHidden/>
              </w:rPr>
              <w:fldChar w:fldCharType="end"/>
            </w:r>
          </w:hyperlink>
        </w:p>
        <w:p w14:paraId="339AAE35" w14:textId="10556FFC" w:rsidR="00CB1A3E" w:rsidRPr="00CB1A3E" w:rsidRDefault="00CB1A3E">
          <w:pPr>
            <w:pStyle w:val="TOC2"/>
            <w:tabs>
              <w:tab w:val="right" w:leader="dot" w:pos="9062"/>
            </w:tabs>
            <w:ind w:left="480"/>
            <w:rPr>
              <w:rFonts w:ascii="宋体" w:hAnsi="宋体" w:hint="eastAsia"/>
              <w:noProof/>
            </w:rPr>
          </w:pPr>
          <w:hyperlink w:anchor="_Toc242559110" w:history="1">
            <w:r w:rsidRPr="00CB1A3E">
              <w:rPr>
                <w:rStyle w:val="aff9"/>
                <w:rFonts w:ascii="宋体" w:hAnsi="宋体"/>
                <w:noProof/>
              </w:rPr>
              <w:t>3.4 RBF核与学习目标</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_Toc242559110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6</w:t>
            </w:r>
            <w:r w:rsidRPr="00CB1A3E">
              <w:rPr>
                <w:rFonts w:ascii="宋体" w:hAnsi="宋体" w:hint="eastAsia"/>
                <w:noProof/>
                <w:webHidden/>
              </w:rPr>
              <w:fldChar w:fldCharType="end"/>
            </w:r>
          </w:hyperlink>
        </w:p>
        <w:p w14:paraId="5019F64D" w14:textId="3316A2B4" w:rsidR="00CB1A3E" w:rsidRPr="00CB1A3E" w:rsidRDefault="00CB1A3E">
          <w:pPr>
            <w:pStyle w:val="TOC2"/>
            <w:tabs>
              <w:tab w:val="right" w:leader="dot" w:pos="9062"/>
            </w:tabs>
            <w:ind w:left="480"/>
            <w:rPr>
              <w:rFonts w:ascii="宋体" w:hAnsi="宋体" w:hint="eastAsia"/>
              <w:noProof/>
            </w:rPr>
          </w:pPr>
          <w:hyperlink w:anchor="_Toc242559111" w:history="1">
            <w:r w:rsidRPr="00CB1A3E">
              <w:rPr>
                <w:rStyle w:val="aff9"/>
                <w:rFonts w:ascii="宋体" w:hAnsi="宋体"/>
                <w:noProof/>
              </w:rPr>
              <w:t>3.5 模型选择与对照设计</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_Toc242559111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7</w:t>
            </w:r>
            <w:r w:rsidRPr="00CB1A3E">
              <w:rPr>
                <w:rFonts w:ascii="宋体" w:hAnsi="宋体" w:hint="eastAsia"/>
                <w:noProof/>
                <w:webHidden/>
              </w:rPr>
              <w:fldChar w:fldCharType="end"/>
            </w:r>
          </w:hyperlink>
        </w:p>
        <w:p w14:paraId="0F0ADA04" w14:textId="10DCF204" w:rsidR="00CB1A3E" w:rsidRPr="00CB1A3E" w:rsidRDefault="00CB1A3E">
          <w:pPr>
            <w:pStyle w:val="TOC1"/>
            <w:tabs>
              <w:tab w:val="right" w:leader="dot" w:pos="9062"/>
            </w:tabs>
            <w:rPr>
              <w:rFonts w:ascii="宋体" w:hAnsi="宋体" w:hint="eastAsia"/>
              <w:noProof/>
            </w:rPr>
          </w:pPr>
          <w:hyperlink w:anchor="_Toc242559112" w:history="1">
            <w:r w:rsidRPr="00CB1A3E">
              <w:rPr>
                <w:rStyle w:val="aff9"/>
                <w:rFonts w:ascii="宋体" w:hAnsi="宋体"/>
                <w:noProof/>
              </w:rPr>
              <w:t>4 实验</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_Toc242559112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7</w:t>
            </w:r>
            <w:r w:rsidRPr="00CB1A3E">
              <w:rPr>
                <w:rFonts w:ascii="宋体" w:hAnsi="宋体" w:hint="eastAsia"/>
                <w:noProof/>
                <w:webHidden/>
              </w:rPr>
              <w:fldChar w:fldCharType="end"/>
            </w:r>
          </w:hyperlink>
        </w:p>
        <w:p w14:paraId="2E5A9077" w14:textId="53992CD0" w:rsidR="00CB1A3E" w:rsidRPr="00CB1A3E" w:rsidRDefault="00CB1A3E">
          <w:pPr>
            <w:pStyle w:val="TOC2"/>
            <w:tabs>
              <w:tab w:val="right" w:leader="dot" w:pos="9062"/>
            </w:tabs>
            <w:ind w:left="480"/>
            <w:rPr>
              <w:rFonts w:ascii="宋体" w:hAnsi="宋体" w:hint="eastAsia"/>
              <w:noProof/>
            </w:rPr>
          </w:pPr>
          <w:hyperlink w:anchor="_Toc242559113" w:history="1">
            <w:r w:rsidRPr="00CB1A3E">
              <w:rPr>
                <w:rStyle w:val="aff9"/>
                <w:rFonts w:ascii="宋体" w:hAnsi="宋体"/>
                <w:noProof/>
              </w:rPr>
              <w:t>4.1 数据集与划分协议</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_Toc242559113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7</w:t>
            </w:r>
            <w:r w:rsidRPr="00CB1A3E">
              <w:rPr>
                <w:rFonts w:ascii="宋体" w:hAnsi="宋体" w:hint="eastAsia"/>
                <w:noProof/>
                <w:webHidden/>
              </w:rPr>
              <w:fldChar w:fldCharType="end"/>
            </w:r>
          </w:hyperlink>
        </w:p>
        <w:p w14:paraId="6364E3DE" w14:textId="0F278323" w:rsidR="00CB1A3E" w:rsidRPr="00CB1A3E" w:rsidRDefault="00CB1A3E">
          <w:pPr>
            <w:pStyle w:val="TOC2"/>
            <w:tabs>
              <w:tab w:val="right" w:leader="dot" w:pos="9062"/>
            </w:tabs>
            <w:ind w:left="480"/>
            <w:rPr>
              <w:rFonts w:ascii="宋体" w:hAnsi="宋体" w:hint="eastAsia"/>
              <w:noProof/>
            </w:rPr>
          </w:pPr>
          <w:hyperlink w:anchor="_Toc242559114" w:history="1">
            <w:r w:rsidRPr="00CB1A3E">
              <w:rPr>
                <w:rStyle w:val="aff9"/>
                <w:rFonts w:ascii="宋体" w:hAnsi="宋体"/>
                <w:noProof/>
              </w:rPr>
              <w:t>4.2 评价指标与运行环境</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_Toc242559114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8</w:t>
            </w:r>
            <w:r w:rsidRPr="00CB1A3E">
              <w:rPr>
                <w:rFonts w:ascii="宋体" w:hAnsi="宋体" w:hint="eastAsia"/>
                <w:noProof/>
                <w:webHidden/>
              </w:rPr>
              <w:fldChar w:fldCharType="end"/>
            </w:r>
          </w:hyperlink>
        </w:p>
        <w:p w14:paraId="3086B628" w14:textId="6A4782B4" w:rsidR="00CB1A3E" w:rsidRPr="00CB1A3E" w:rsidRDefault="00CB1A3E">
          <w:pPr>
            <w:pStyle w:val="TOC2"/>
            <w:tabs>
              <w:tab w:val="right" w:leader="dot" w:pos="9062"/>
            </w:tabs>
            <w:ind w:left="480"/>
            <w:rPr>
              <w:rFonts w:ascii="宋体" w:hAnsi="宋体" w:hint="eastAsia"/>
              <w:noProof/>
            </w:rPr>
          </w:pPr>
          <w:hyperlink w:anchor="_Toc242559115" w:history="1">
            <w:r w:rsidRPr="00CB1A3E">
              <w:rPr>
                <w:rStyle w:val="aff9"/>
                <w:rFonts w:ascii="宋体" w:hAnsi="宋体"/>
                <w:noProof/>
              </w:rPr>
              <w:t>4.3 主比较结果</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_Toc242559115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8</w:t>
            </w:r>
            <w:r w:rsidRPr="00CB1A3E">
              <w:rPr>
                <w:rFonts w:ascii="宋体" w:hAnsi="宋体" w:hint="eastAsia"/>
                <w:noProof/>
                <w:webHidden/>
              </w:rPr>
              <w:fldChar w:fldCharType="end"/>
            </w:r>
          </w:hyperlink>
        </w:p>
        <w:p w14:paraId="3B06F5B2" w14:textId="1E3A93E2" w:rsidR="00CB1A3E" w:rsidRPr="00CB1A3E" w:rsidRDefault="00CB1A3E">
          <w:pPr>
            <w:pStyle w:val="TOC2"/>
            <w:tabs>
              <w:tab w:val="right" w:leader="dot" w:pos="9062"/>
            </w:tabs>
            <w:ind w:left="480"/>
            <w:rPr>
              <w:rFonts w:ascii="宋体" w:hAnsi="宋体" w:hint="eastAsia"/>
              <w:noProof/>
            </w:rPr>
          </w:pPr>
          <w:hyperlink w:anchor="_Toc242559116" w:history="1">
            <w:r w:rsidRPr="00CB1A3E">
              <w:rPr>
                <w:rStyle w:val="aff9"/>
                <w:rFonts w:ascii="宋体" w:hAnsi="宋体"/>
                <w:noProof/>
              </w:rPr>
              <w:t>4.4 固定参数的降维消融</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_Toc242559116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8</w:t>
            </w:r>
            <w:r w:rsidRPr="00CB1A3E">
              <w:rPr>
                <w:rFonts w:ascii="宋体" w:hAnsi="宋体" w:hint="eastAsia"/>
                <w:noProof/>
                <w:webHidden/>
              </w:rPr>
              <w:fldChar w:fldCharType="end"/>
            </w:r>
          </w:hyperlink>
        </w:p>
        <w:p w14:paraId="150C8D5A" w14:textId="0D150C0F" w:rsidR="00CB1A3E" w:rsidRPr="00CB1A3E" w:rsidRDefault="00CB1A3E">
          <w:pPr>
            <w:pStyle w:val="TOC2"/>
            <w:tabs>
              <w:tab w:val="right" w:leader="dot" w:pos="9062"/>
            </w:tabs>
            <w:ind w:left="480"/>
            <w:rPr>
              <w:rFonts w:ascii="宋体" w:hAnsi="宋体" w:hint="eastAsia"/>
              <w:noProof/>
            </w:rPr>
          </w:pPr>
          <w:hyperlink w:anchor="_Toc242559117" w:history="1">
            <w:r w:rsidRPr="00CB1A3E">
              <w:rPr>
                <w:rStyle w:val="aff9"/>
                <w:rFonts w:ascii="宋体" w:hAnsi="宋体"/>
                <w:noProof/>
              </w:rPr>
              <w:t>4.5 类别级表现与错误结构</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_Toc242559117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9</w:t>
            </w:r>
            <w:r w:rsidRPr="00CB1A3E">
              <w:rPr>
                <w:rFonts w:ascii="宋体" w:hAnsi="宋体" w:hint="eastAsia"/>
                <w:noProof/>
                <w:webHidden/>
              </w:rPr>
              <w:fldChar w:fldCharType="end"/>
            </w:r>
          </w:hyperlink>
        </w:p>
        <w:p w14:paraId="1D976773" w14:textId="6E004855" w:rsidR="00CB1A3E" w:rsidRPr="00CB1A3E" w:rsidRDefault="00CB1A3E">
          <w:pPr>
            <w:pStyle w:val="TOC2"/>
            <w:tabs>
              <w:tab w:val="right" w:leader="dot" w:pos="9062"/>
            </w:tabs>
            <w:ind w:left="480"/>
            <w:rPr>
              <w:rFonts w:ascii="宋体" w:hAnsi="宋体" w:hint="eastAsia"/>
              <w:noProof/>
            </w:rPr>
          </w:pPr>
          <w:hyperlink w:anchor="_Toc242559118" w:history="1">
            <w:r w:rsidRPr="00CB1A3E">
              <w:rPr>
                <w:rStyle w:val="aff9"/>
                <w:rFonts w:ascii="宋体" w:hAnsi="宋体"/>
                <w:noProof/>
              </w:rPr>
              <w:t>4.6 不确定性与计算成本</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_Toc242559118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10</w:t>
            </w:r>
            <w:r w:rsidRPr="00CB1A3E">
              <w:rPr>
                <w:rFonts w:ascii="宋体" w:hAnsi="宋体" w:hint="eastAsia"/>
                <w:noProof/>
                <w:webHidden/>
              </w:rPr>
              <w:fldChar w:fldCharType="end"/>
            </w:r>
          </w:hyperlink>
        </w:p>
        <w:p w14:paraId="546871A1" w14:textId="0E48C5DE" w:rsidR="00CB1A3E" w:rsidRPr="00CB1A3E" w:rsidRDefault="00CB1A3E">
          <w:pPr>
            <w:pStyle w:val="TOC1"/>
            <w:tabs>
              <w:tab w:val="right" w:leader="dot" w:pos="9062"/>
            </w:tabs>
            <w:rPr>
              <w:rFonts w:ascii="宋体" w:hAnsi="宋体" w:hint="eastAsia"/>
              <w:noProof/>
            </w:rPr>
          </w:pPr>
          <w:hyperlink w:anchor="_Toc242559119" w:history="1">
            <w:r w:rsidRPr="00CB1A3E">
              <w:rPr>
                <w:rStyle w:val="aff9"/>
                <w:rFonts w:ascii="宋体" w:hAnsi="宋体"/>
                <w:noProof/>
              </w:rPr>
              <w:t>5 讨论</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_Toc242559119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10</w:t>
            </w:r>
            <w:r w:rsidRPr="00CB1A3E">
              <w:rPr>
                <w:rFonts w:ascii="宋体" w:hAnsi="宋体" w:hint="eastAsia"/>
                <w:noProof/>
                <w:webHidden/>
              </w:rPr>
              <w:fldChar w:fldCharType="end"/>
            </w:r>
          </w:hyperlink>
        </w:p>
        <w:p w14:paraId="45DC18EF" w14:textId="373718AC" w:rsidR="00CB1A3E" w:rsidRPr="00CB1A3E" w:rsidRDefault="00CB1A3E">
          <w:pPr>
            <w:pStyle w:val="TOC2"/>
            <w:tabs>
              <w:tab w:val="right" w:leader="dot" w:pos="9062"/>
            </w:tabs>
            <w:ind w:left="480"/>
            <w:rPr>
              <w:rFonts w:ascii="宋体" w:hAnsi="宋体" w:hint="eastAsia"/>
              <w:noProof/>
            </w:rPr>
          </w:pPr>
          <w:hyperlink w:anchor="_Toc242559120" w:history="1">
            <w:r w:rsidRPr="00CB1A3E">
              <w:rPr>
                <w:rStyle w:val="aff9"/>
                <w:rFonts w:ascii="宋体" w:hAnsi="宋体"/>
                <w:noProof/>
              </w:rPr>
              <w:t>5.1 组合方案的适用条件</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_Toc242559120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10</w:t>
            </w:r>
            <w:r w:rsidRPr="00CB1A3E">
              <w:rPr>
                <w:rFonts w:ascii="宋体" w:hAnsi="宋体" w:hint="eastAsia"/>
                <w:noProof/>
                <w:webHidden/>
              </w:rPr>
              <w:fldChar w:fldCharType="end"/>
            </w:r>
          </w:hyperlink>
        </w:p>
        <w:p w14:paraId="27B574CC" w14:textId="2065B626" w:rsidR="00CB1A3E" w:rsidRPr="00CB1A3E" w:rsidRDefault="00CB1A3E">
          <w:pPr>
            <w:pStyle w:val="TOC2"/>
            <w:tabs>
              <w:tab w:val="right" w:leader="dot" w:pos="9062"/>
            </w:tabs>
            <w:ind w:left="480"/>
            <w:rPr>
              <w:rFonts w:ascii="宋体" w:hAnsi="宋体" w:hint="eastAsia"/>
              <w:noProof/>
            </w:rPr>
          </w:pPr>
          <w:hyperlink w:anchor="_Toc242559121" w:history="1">
            <w:r w:rsidRPr="00CB1A3E">
              <w:rPr>
                <w:rStyle w:val="aff9"/>
                <w:rFonts w:ascii="宋体" w:hAnsi="宋体"/>
                <w:noProof/>
              </w:rPr>
              <w:t>5.2 实验设计的限制</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_Toc242559121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11</w:t>
            </w:r>
            <w:r w:rsidRPr="00CB1A3E">
              <w:rPr>
                <w:rFonts w:ascii="宋体" w:hAnsi="宋体" w:hint="eastAsia"/>
                <w:noProof/>
                <w:webHidden/>
              </w:rPr>
              <w:fldChar w:fldCharType="end"/>
            </w:r>
          </w:hyperlink>
        </w:p>
        <w:p w14:paraId="774E8621" w14:textId="7FF230D0" w:rsidR="00CB1A3E" w:rsidRPr="00CB1A3E" w:rsidRDefault="00CB1A3E">
          <w:pPr>
            <w:pStyle w:val="TOC2"/>
            <w:tabs>
              <w:tab w:val="right" w:leader="dot" w:pos="9062"/>
            </w:tabs>
            <w:ind w:left="480"/>
            <w:rPr>
              <w:rFonts w:ascii="宋体" w:hAnsi="宋体" w:hint="eastAsia"/>
              <w:noProof/>
            </w:rPr>
          </w:pPr>
          <w:hyperlink w:anchor="_Toc242559122" w:history="1">
            <w:r w:rsidRPr="00CB1A3E">
              <w:rPr>
                <w:rStyle w:val="aff9"/>
                <w:rFonts w:ascii="宋体" w:hAnsi="宋体"/>
                <w:noProof/>
              </w:rPr>
              <w:t>5.3 可复现性与结果解释</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_Toc242559122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11</w:t>
            </w:r>
            <w:r w:rsidRPr="00CB1A3E">
              <w:rPr>
                <w:rFonts w:ascii="宋体" w:hAnsi="宋体" w:hint="eastAsia"/>
                <w:noProof/>
                <w:webHidden/>
              </w:rPr>
              <w:fldChar w:fldCharType="end"/>
            </w:r>
          </w:hyperlink>
        </w:p>
        <w:p w14:paraId="1A7C9FE5" w14:textId="19AE5148" w:rsidR="00CB1A3E" w:rsidRPr="00CB1A3E" w:rsidRDefault="00CB1A3E">
          <w:pPr>
            <w:pStyle w:val="TOC1"/>
            <w:tabs>
              <w:tab w:val="right" w:leader="dot" w:pos="9062"/>
            </w:tabs>
            <w:rPr>
              <w:rFonts w:ascii="宋体" w:hAnsi="宋体" w:hint="eastAsia"/>
              <w:noProof/>
            </w:rPr>
          </w:pPr>
          <w:hyperlink w:anchor="_Toc242559123" w:history="1">
            <w:r w:rsidRPr="00CB1A3E">
              <w:rPr>
                <w:rStyle w:val="aff9"/>
                <w:rFonts w:ascii="宋体" w:hAnsi="宋体"/>
                <w:noProof/>
              </w:rPr>
              <w:t>6 结论</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_Toc242559123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11</w:t>
            </w:r>
            <w:r w:rsidRPr="00CB1A3E">
              <w:rPr>
                <w:rFonts w:ascii="宋体" w:hAnsi="宋体" w:hint="eastAsia"/>
                <w:noProof/>
                <w:webHidden/>
              </w:rPr>
              <w:fldChar w:fldCharType="end"/>
            </w:r>
          </w:hyperlink>
        </w:p>
        <w:p w14:paraId="3A0ECA11" w14:textId="3D24D526" w:rsidR="00CB1A3E" w:rsidRPr="00CB1A3E" w:rsidRDefault="00CB1A3E">
          <w:pPr>
            <w:pStyle w:val="TOC1"/>
            <w:tabs>
              <w:tab w:val="right" w:leader="dot" w:pos="9062"/>
            </w:tabs>
            <w:rPr>
              <w:rFonts w:ascii="宋体" w:hAnsi="宋体" w:hint="eastAsia"/>
              <w:noProof/>
            </w:rPr>
          </w:pPr>
          <w:hyperlink w:anchor="_Toc242559124" w:history="1">
            <w:r w:rsidRPr="00CB1A3E">
              <w:rPr>
                <w:rStyle w:val="aff9"/>
                <w:rFonts w:ascii="宋体" w:hAnsi="宋体"/>
                <w:noProof/>
              </w:rPr>
              <w:t>参考文献</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_Toc242559124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12</w:t>
            </w:r>
            <w:r w:rsidRPr="00CB1A3E">
              <w:rPr>
                <w:rFonts w:ascii="宋体" w:hAnsi="宋体" w:hint="eastAsia"/>
                <w:noProof/>
                <w:webHidden/>
              </w:rPr>
              <w:fldChar w:fldCharType="end"/>
            </w:r>
          </w:hyperlink>
        </w:p>
        <w:p w14:paraId="646AB8A7" w14:textId="4F5CEB5D" w:rsidR="00CB1A3E" w:rsidRPr="00CB1A3E" w:rsidRDefault="00CB1A3E" w:rsidP="00CB1A3E">
          <w:pPr>
            <w:pStyle w:val="TOC2"/>
            <w:tabs>
              <w:tab w:val="right" w:leader="dot" w:pos="9062"/>
            </w:tabs>
            <w:ind w:leftChars="0" w:left="0" w:firstLineChars="200"/>
            <w:rPr>
              <w:rFonts w:ascii="宋体" w:hAnsi="宋体" w:hint="eastAsia"/>
              <w:noProof/>
            </w:rPr>
          </w:pPr>
          <w:hyperlink w:anchor="_Toc242559125" w:history="1">
            <w:r w:rsidRPr="00CB1A3E">
              <w:rPr>
                <w:rStyle w:val="aff9"/>
                <w:rFonts w:ascii="宋体" w:hAnsi="宋体"/>
                <w:noProof/>
              </w:rPr>
              <w:t>AI工具使用说明</w:t>
            </w:r>
            <w:r w:rsidRPr="00CB1A3E">
              <w:rPr>
                <w:rFonts w:ascii="宋体" w:hAnsi="宋体" w:hint="eastAsia"/>
                <w:noProof/>
                <w:webHidden/>
              </w:rPr>
              <w:tab/>
            </w:r>
            <w:r w:rsidRPr="00CB1A3E">
              <w:rPr>
                <w:rFonts w:ascii="宋体" w:hAnsi="宋体" w:hint="eastAsia"/>
                <w:noProof/>
                <w:webHidden/>
              </w:rPr>
              <w:fldChar w:fldCharType="begin"/>
            </w:r>
            <w:r w:rsidRPr="00CB1A3E">
              <w:rPr>
                <w:rFonts w:ascii="宋体" w:hAnsi="宋体" w:hint="eastAsia"/>
                <w:noProof/>
                <w:webHidden/>
              </w:rPr>
              <w:instrText xml:space="preserve"> </w:instrText>
            </w:r>
            <w:r w:rsidRPr="00CB1A3E">
              <w:rPr>
                <w:rFonts w:ascii="宋体" w:hAnsi="宋体"/>
                <w:noProof/>
                <w:webHidden/>
              </w:rPr>
              <w:instrText>PAGEREF _Toc242559125 \h</w:instrText>
            </w:r>
            <w:r w:rsidRPr="00CB1A3E">
              <w:rPr>
                <w:rFonts w:ascii="宋体" w:hAnsi="宋体" w:hint="eastAsia"/>
                <w:noProof/>
                <w:webHidden/>
              </w:rPr>
              <w:instrText xml:space="preserve"> </w:instrText>
            </w:r>
            <w:r w:rsidRPr="00CB1A3E">
              <w:rPr>
                <w:rFonts w:ascii="宋体" w:hAnsi="宋体" w:hint="eastAsia"/>
                <w:noProof/>
                <w:webHidden/>
              </w:rPr>
            </w:r>
            <w:r w:rsidRPr="00CB1A3E">
              <w:rPr>
                <w:rFonts w:ascii="宋体" w:hAnsi="宋体" w:hint="eastAsia"/>
                <w:noProof/>
                <w:webHidden/>
              </w:rPr>
              <w:fldChar w:fldCharType="separate"/>
            </w:r>
            <w:r w:rsidRPr="00CB1A3E">
              <w:rPr>
                <w:rFonts w:ascii="宋体" w:hAnsi="宋体"/>
                <w:noProof/>
                <w:webHidden/>
              </w:rPr>
              <w:t>12</w:t>
            </w:r>
            <w:r w:rsidRPr="00CB1A3E">
              <w:rPr>
                <w:rFonts w:ascii="宋体" w:hAnsi="宋体" w:hint="eastAsia"/>
                <w:noProof/>
                <w:webHidden/>
              </w:rPr>
              <w:fldChar w:fldCharType="end"/>
            </w:r>
          </w:hyperlink>
        </w:p>
        <w:p w14:paraId="580E2ACD" w14:textId="3ABE2C99" w:rsidR="00CB1A3E" w:rsidRPr="00CB1A3E" w:rsidRDefault="00CB1A3E">
          <w:pPr>
            <w:rPr>
              <w:rFonts w:ascii="宋体" w:hAnsi="宋体" w:hint="eastAsia"/>
            </w:rPr>
          </w:pPr>
          <w:r w:rsidRPr="00CB1A3E">
            <w:rPr>
              <w:rFonts w:ascii="宋体" w:hAnsi="宋体"/>
              <w:b/>
              <w:bCs/>
              <w:lang w:val="zh-CN"/>
            </w:rPr>
            <w:fldChar w:fldCharType="end"/>
          </w:r>
        </w:p>
      </w:sdtContent>
    </w:sdt>
    <w:p w14:paraId="36616474" w14:textId="77777777" w:rsidR="00CB1A3E" w:rsidRPr="00CB1A3E" w:rsidRDefault="00CB1A3E">
      <w:pPr>
        <w:overflowPunct w:val="0"/>
        <w:autoSpaceDE w:val="0"/>
        <w:autoSpaceDN w:val="0"/>
        <w:snapToGrid w:val="0"/>
        <w:spacing w:after="80"/>
        <w:ind w:firstLine="0"/>
        <w:rPr>
          <w:rFonts w:ascii="宋体" w:hAnsi="宋体" w:hint="eastAsia"/>
        </w:rPr>
      </w:pPr>
    </w:p>
    <w:p w14:paraId="5D71ECCA" w14:textId="77777777" w:rsidR="00CB1A3E" w:rsidRPr="00CB1A3E" w:rsidRDefault="00CB1A3E">
      <w:pPr>
        <w:spacing w:after="200" w:line="276" w:lineRule="auto"/>
        <w:ind w:firstLine="0"/>
        <w:rPr>
          <w:rFonts w:ascii="宋体" w:hAnsi="宋体" w:hint="eastAsia"/>
        </w:rPr>
      </w:pPr>
      <w:r w:rsidRPr="00CB1A3E">
        <w:rPr>
          <w:rFonts w:ascii="宋体" w:hAnsi="宋体" w:hint="eastAsia"/>
        </w:rPr>
        <w:br w:type="page"/>
      </w:r>
    </w:p>
    <w:p w14:paraId="497414FF" w14:textId="77777777" w:rsidR="00374724" w:rsidRPr="00CB1A3E" w:rsidRDefault="00374724">
      <w:pPr>
        <w:overflowPunct w:val="0"/>
        <w:autoSpaceDE w:val="0"/>
        <w:autoSpaceDN w:val="0"/>
        <w:snapToGrid w:val="0"/>
        <w:spacing w:after="80"/>
        <w:ind w:firstLine="0"/>
        <w:rPr>
          <w:rFonts w:ascii="宋体" w:hAnsi="宋体"/>
        </w:rPr>
      </w:pPr>
    </w:p>
    <w:p w14:paraId="4C5BD3BC" w14:textId="77777777" w:rsidR="00374724" w:rsidRPr="00CB1A3E" w:rsidRDefault="007F137D">
      <w:pPr>
        <w:pStyle w:val="1"/>
        <w:overflowPunct w:val="0"/>
        <w:autoSpaceDE w:val="0"/>
        <w:autoSpaceDN w:val="0"/>
        <w:snapToGrid w:val="0"/>
        <w:rPr>
          <w:rFonts w:ascii="宋体" w:eastAsia="宋体" w:hAnsi="宋体"/>
        </w:rPr>
      </w:pPr>
      <w:bookmarkStart w:id="1" w:name="_Toc242559101"/>
      <w:r w:rsidRPr="00CB1A3E">
        <w:rPr>
          <w:rFonts w:ascii="宋体" w:eastAsia="宋体" w:hAnsi="宋体"/>
        </w:rPr>
        <w:t>1 引言</w:t>
      </w:r>
      <w:bookmarkEnd w:id="1"/>
    </w:p>
    <w:p w14:paraId="79D6A87D" w14:textId="77777777" w:rsidR="00374724" w:rsidRPr="00CB1A3E" w:rsidRDefault="007F137D">
      <w:pPr>
        <w:overflowPunct w:val="0"/>
        <w:autoSpaceDE w:val="0"/>
        <w:autoSpaceDN w:val="0"/>
        <w:snapToGrid w:val="0"/>
        <w:rPr>
          <w:rFonts w:ascii="宋体" w:hAnsi="宋体"/>
        </w:rPr>
      </w:pPr>
      <w:r w:rsidRPr="00CB1A3E">
        <w:rPr>
          <w:rFonts w:ascii="宋体" w:hAnsi="宋体"/>
        </w:rPr>
        <w:t>手写数字识别要求模型根据数字笔画的灰度分布预测0至9的类别，可用于理解字符识别中的特征表示、分类边界和泛化评估。与自然场景文字检测不同，本任务的输入已经切分为单个字符，不涉及目标定位、版面分析或连续文本解码。本文选择这一边界清楚、计算成本较低的任务，重点研究传统机器学习流水线中的预处理与分类器如何相互作用，而不是单纯追求更复杂的模型。</w:t>
      </w:r>
    </w:p>
    <w:p w14:paraId="3B0AB168" w14:textId="77777777" w:rsidR="00374724" w:rsidRPr="00CB1A3E" w:rsidRDefault="007F137D">
      <w:pPr>
        <w:overflowPunct w:val="0"/>
        <w:autoSpaceDE w:val="0"/>
        <w:autoSpaceDN w:val="0"/>
        <w:snapToGrid w:val="0"/>
        <w:rPr>
          <w:rFonts w:ascii="宋体" w:hAnsi="宋体"/>
        </w:rPr>
      </w:pPr>
      <w:r w:rsidRPr="00CB1A3E">
        <w:rPr>
          <w:rFonts w:ascii="宋体" w:hAnsi="宋体"/>
        </w:rPr>
        <w:t>小尺寸图像可以直接展平为像素向量，但像素之间通常存在相关性：相邻位置可能同时反映同一笔画，边缘像素也可能在大多数样本中保持背景值。PCA能够把相关特征映射到正交主成分，从而减少表示维数。然而，大方差不等于强判别性；某些总体方差较低的方向仍可能区分形态相近的数字。因此，不能仅根据累计解释方差或压缩比例判断分类效果。</w:t>
      </w:r>
    </w:p>
    <w:p w14:paraId="2444AF23" w14:textId="77777777" w:rsidR="00374724" w:rsidRPr="00CB1A3E" w:rsidRDefault="007F137D">
      <w:pPr>
        <w:overflowPunct w:val="0"/>
        <w:autoSpaceDE w:val="0"/>
        <w:autoSpaceDN w:val="0"/>
        <w:snapToGrid w:val="0"/>
        <w:rPr>
          <w:rFonts w:ascii="宋体" w:hAnsi="宋体"/>
        </w:rPr>
      </w:pPr>
      <w:r w:rsidRPr="00CB1A3E">
        <w:rPr>
          <w:rFonts w:ascii="宋体" w:hAnsi="宋体"/>
        </w:rPr>
        <w:t>RBF-SVM通过核函数表达非线性分类关系，适合检验像素空间中的距离结构是否足以区分类别。若PCA主要删除冗余信息，模型可能以更少的特征维持性能；若删除了有用方向，则可能出现准确率下降。本文将研究问题具体化为：加入PCA后能否保持测试性能；保留方差比例如何影响训练集交叉验证结果；压缩收益是否足以抵消额外的变换步骤。</w:t>
      </w:r>
    </w:p>
    <w:p w14:paraId="79FF88B6" w14:textId="22245756" w:rsidR="00906622" w:rsidRDefault="007F137D">
      <w:pPr>
        <w:overflowPunct w:val="0"/>
        <w:autoSpaceDE w:val="0"/>
        <w:autoSpaceDN w:val="0"/>
        <w:snapToGrid w:val="0"/>
        <w:rPr>
          <w:rFonts w:ascii="宋体" w:hAnsi="宋体" w:hint="eastAsia"/>
        </w:rPr>
      </w:pPr>
      <w:r w:rsidRPr="00CB1A3E">
        <w:rPr>
          <w:rFonts w:ascii="宋体" w:hAnsi="宋体"/>
        </w:rPr>
        <w:t>围绕这些问题，本文构建标准化RBF-SVM基线与标准化—PCA—RBF-SVM组合方案，采用一致的数据划分和交叉验证折，并将所有预处理放入训练流水线。实验不仅比较最终准确率，还报告宏平均指标、类别级错误和固定参数消融。本文的工作是针对现有算法进行组合、控制变量和分析，不将PCA、支持向量机或其软件实现作为新的原创算法，也不把未观察到的提升描述为有效改进。</w:t>
      </w:r>
    </w:p>
    <w:p w14:paraId="1B9E475C" w14:textId="4CA903F0" w:rsidR="00374724" w:rsidRPr="00CB1A3E" w:rsidRDefault="00906622" w:rsidP="00906622">
      <w:pPr>
        <w:spacing w:after="200" w:line="276" w:lineRule="auto"/>
        <w:ind w:firstLine="0"/>
        <w:rPr>
          <w:rFonts w:ascii="宋体" w:hAnsi="宋体" w:hint="eastAsia"/>
          <w:lang w:eastAsia="zh-CN"/>
        </w:rPr>
      </w:pPr>
      <w:r>
        <w:rPr>
          <w:rFonts w:ascii="宋体" w:hAnsi="宋体" w:hint="eastAsia"/>
        </w:rPr>
        <w:br w:type="page"/>
      </w:r>
    </w:p>
    <w:p w14:paraId="5B2C9465" w14:textId="77777777" w:rsidR="00374724" w:rsidRPr="00CB1A3E" w:rsidRDefault="007F137D">
      <w:pPr>
        <w:pStyle w:val="1"/>
        <w:overflowPunct w:val="0"/>
        <w:autoSpaceDE w:val="0"/>
        <w:autoSpaceDN w:val="0"/>
        <w:snapToGrid w:val="0"/>
        <w:rPr>
          <w:rFonts w:ascii="宋体" w:eastAsia="宋体" w:hAnsi="宋体"/>
        </w:rPr>
      </w:pPr>
      <w:bookmarkStart w:id="2" w:name="_Toc242559102"/>
      <w:r w:rsidRPr="00CB1A3E">
        <w:rPr>
          <w:rFonts w:ascii="宋体" w:eastAsia="宋体" w:hAnsi="宋体"/>
        </w:rPr>
        <w:lastRenderedPageBreak/>
        <w:t>2 相关工作</w:t>
      </w:r>
      <w:bookmarkEnd w:id="2"/>
    </w:p>
    <w:p w14:paraId="5845BE48" w14:textId="77777777" w:rsidR="00374724" w:rsidRPr="00CB1A3E" w:rsidRDefault="007F137D">
      <w:pPr>
        <w:pStyle w:val="21"/>
        <w:overflowPunct w:val="0"/>
        <w:autoSpaceDE w:val="0"/>
        <w:autoSpaceDN w:val="0"/>
        <w:snapToGrid w:val="0"/>
        <w:rPr>
          <w:rFonts w:ascii="宋体" w:eastAsia="宋体" w:hAnsi="宋体"/>
        </w:rPr>
      </w:pPr>
      <w:bookmarkStart w:id="3" w:name="_Toc242559103"/>
      <w:r w:rsidRPr="00CB1A3E">
        <w:rPr>
          <w:rFonts w:ascii="宋体" w:eastAsia="宋体" w:hAnsi="宋体"/>
        </w:rPr>
        <w:t>2.1 支持向量机与非线性分类</w:t>
      </w:r>
      <w:bookmarkEnd w:id="3"/>
    </w:p>
    <w:p w14:paraId="06A1B6F6" w14:textId="77777777" w:rsidR="00374724" w:rsidRPr="00247696" w:rsidRDefault="007F137D">
      <w:pPr>
        <w:overflowPunct w:val="0"/>
        <w:autoSpaceDE w:val="0"/>
        <w:autoSpaceDN w:val="0"/>
        <w:snapToGrid w:val="0"/>
        <w:rPr>
          <w:rFonts w:ascii="宋体" w:hAnsi="宋体"/>
        </w:rPr>
      </w:pPr>
      <w:r w:rsidRPr="00247696">
        <w:rPr>
          <w:rFonts w:ascii="宋体" w:hAnsi="宋体"/>
        </w:rPr>
        <w:t>Cortes和Vapnik提出的支持向量网络通过间隔最大化与误差惩罚之间的平衡构建分类器[1]。在线性不可分情况下，核函数使模型能够表达非线性关系，而不必显式构造高维映射。RBF核依赖样本之间的平方欧氏距离，其宽度参数决定相似度随距离下降的速度；惩罚参数C则控制训练误差的代价。两者共同影响分类边界的平滑程度，因此单独改变输入表示而忽略分类器参数，可能导致不公平比较。</w:t>
      </w:r>
    </w:p>
    <w:p w14:paraId="04F4B6F0" w14:textId="77777777" w:rsidR="00374724" w:rsidRPr="00247696" w:rsidRDefault="007F137D">
      <w:pPr>
        <w:overflowPunct w:val="0"/>
        <w:autoSpaceDE w:val="0"/>
        <w:autoSpaceDN w:val="0"/>
        <w:snapToGrid w:val="0"/>
        <w:rPr>
          <w:rFonts w:ascii="宋体" w:hAnsi="宋体"/>
        </w:rPr>
      </w:pPr>
      <w:r w:rsidRPr="00247696">
        <w:rPr>
          <w:rFonts w:ascii="宋体" w:hAnsi="宋体"/>
        </w:rPr>
        <w:t>本文使用scikit-learn中的SVC实现[3]。对于十类识别，底层训练采用一对一的多分类策略，不是直接求解一个十分类线性问题。像素标准化和PCA会改变输入距离分布，进而影响核函数，所以主比较允许两个流程分别在训练集上选择参数。同时，补充实验固定C和gamma，用于隔离PCA阈值变化的影响，避免把多项参数同时改变的结果误认为单模块消融。</w:t>
      </w:r>
    </w:p>
    <w:p w14:paraId="3B1AD82D" w14:textId="77777777" w:rsidR="00374724" w:rsidRPr="00247696" w:rsidRDefault="007F137D">
      <w:pPr>
        <w:pStyle w:val="21"/>
        <w:overflowPunct w:val="0"/>
        <w:autoSpaceDE w:val="0"/>
        <w:autoSpaceDN w:val="0"/>
        <w:snapToGrid w:val="0"/>
        <w:rPr>
          <w:rFonts w:ascii="宋体" w:eastAsia="宋体" w:hAnsi="宋体"/>
        </w:rPr>
      </w:pPr>
      <w:bookmarkStart w:id="4" w:name="_Toc242559104"/>
      <w:r w:rsidRPr="00247696">
        <w:rPr>
          <w:rFonts w:ascii="宋体" w:eastAsia="宋体" w:hAnsi="宋体"/>
        </w:rPr>
        <w:t>2.2 主成分分析与信息保留</w:t>
      </w:r>
      <w:bookmarkEnd w:id="4"/>
    </w:p>
    <w:p w14:paraId="0FE3F8AA" w14:textId="77777777" w:rsidR="00374724" w:rsidRPr="00247696" w:rsidRDefault="007F137D">
      <w:pPr>
        <w:overflowPunct w:val="0"/>
        <w:autoSpaceDE w:val="0"/>
        <w:autoSpaceDN w:val="0"/>
        <w:snapToGrid w:val="0"/>
        <w:rPr>
          <w:rFonts w:ascii="宋体" w:hAnsi="宋体"/>
        </w:rPr>
      </w:pPr>
      <w:r w:rsidRPr="00247696">
        <w:rPr>
          <w:rFonts w:ascii="宋体" w:hAnsi="宋体"/>
        </w:rPr>
        <w:t>PCA通过正交投影保留数据中方差较大的方向，是降维和数据探索中的常用方法。Jolliffe和Cadima系统讨论了PCA的目标、解释方式及应用限制[2]。对中心化数据而言，截断到前k个主成分能够在相应约束下得到较小的平方重构误差；这一性质并不保证分类误差最小，因为其目标函数没有使用类别标签。</w:t>
      </w:r>
    </w:p>
    <w:p w14:paraId="37C73BB8" w14:textId="77777777" w:rsidR="00374724" w:rsidRPr="00247696" w:rsidRDefault="007F137D">
      <w:pPr>
        <w:overflowPunct w:val="0"/>
        <w:autoSpaceDE w:val="0"/>
        <w:autoSpaceDN w:val="0"/>
        <w:snapToGrid w:val="0"/>
        <w:rPr>
          <w:rFonts w:ascii="宋体" w:hAnsi="宋体"/>
        </w:rPr>
      </w:pPr>
      <w:r w:rsidRPr="00247696">
        <w:rPr>
          <w:rFonts w:ascii="宋体" w:hAnsi="宋体"/>
        </w:rPr>
        <w:t>在图像识别中，PCA的实际作用应当从两个层面判断。表示层面需要记录保留维数、累计方差与压缩比例；任务层面则需要在未参与拟合的样本上评价准确率与各类召回率。本文采用方差阈值而非手工指定固定维数，并在每个训练折内独立拟合PCA。由此得到的维数可能随训练折变化，最终全训练集模型的维数不能被当作每一折都相同。</w:t>
      </w:r>
    </w:p>
    <w:p w14:paraId="714AD0E4" w14:textId="77777777" w:rsidR="00374724" w:rsidRPr="00247696" w:rsidRDefault="007F137D">
      <w:pPr>
        <w:pStyle w:val="21"/>
        <w:overflowPunct w:val="0"/>
        <w:autoSpaceDE w:val="0"/>
        <w:autoSpaceDN w:val="0"/>
        <w:snapToGrid w:val="0"/>
        <w:rPr>
          <w:rFonts w:ascii="宋体" w:eastAsia="宋体" w:hAnsi="宋体"/>
        </w:rPr>
      </w:pPr>
      <w:bookmarkStart w:id="5" w:name="_Toc242559105"/>
      <w:r w:rsidRPr="00247696">
        <w:rPr>
          <w:rFonts w:ascii="宋体" w:eastAsia="宋体" w:hAnsi="宋体"/>
        </w:rPr>
        <w:t>2.3 数据来源与本文定位</w:t>
      </w:r>
      <w:bookmarkEnd w:id="5"/>
    </w:p>
    <w:p w14:paraId="5E3CACDE" w14:textId="77777777" w:rsidR="00374724" w:rsidRPr="00247696" w:rsidRDefault="007F137D">
      <w:pPr>
        <w:overflowPunct w:val="0"/>
        <w:autoSpaceDE w:val="0"/>
        <w:autoSpaceDN w:val="0"/>
        <w:snapToGrid w:val="0"/>
        <w:rPr>
          <w:rFonts w:ascii="宋体" w:hAnsi="宋体"/>
        </w:rPr>
      </w:pPr>
      <w:r w:rsidRPr="00247696">
        <w:rPr>
          <w:rFonts w:ascii="宋体" w:hAnsi="宋体"/>
        </w:rPr>
        <w:t>实验使用scikit-learn的load_digits接口[4]，其数据来源于UCI的光学手写数字识别数据，接口提供1797个8×8图像以及0至9标签。它不是MNIST的28×28图像集合。本文不混用这两个数据集的规模、预处理或已有成绩，也不与采用不同划分的外部论文数值直接进行优劣比较。</w:t>
      </w:r>
    </w:p>
    <w:p w14:paraId="58C0AC2B" w14:textId="77777777" w:rsidR="00374724" w:rsidRPr="00247696" w:rsidRDefault="007F137D">
      <w:pPr>
        <w:overflowPunct w:val="0"/>
        <w:autoSpaceDE w:val="0"/>
        <w:autoSpaceDN w:val="0"/>
        <w:snapToGrid w:val="0"/>
        <w:rPr>
          <w:rFonts w:ascii="宋体" w:hAnsi="宋体"/>
        </w:rPr>
      </w:pPr>
      <w:r w:rsidRPr="00247696">
        <w:rPr>
          <w:rFonts w:ascii="宋体" w:hAnsi="宋体"/>
        </w:rPr>
        <w:t>与只展示一个分类器调用示例相比，本文侧重于可追溯的模型选择和组合方案分析。现有工作提供了PCA与SVM的基础理论及开源实现；本实验完成任务界定、数据划分、参数网格配置、对照设计和结果解释。研究范围限于低维、样本量较小的数字识别，不涉及深度预训练、迁移学习或新的核函数推导。</w:t>
      </w:r>
    </w:p>
    <w:p w14:paraId="7299E08F" w14:textId="77777777" w:rsidR="00374724" w:rsidRPr="00247696" w:rsidRDefault="007F137D">
      <w:pPr>
        <w:pStyle w:val="1"/>
        <w:overflowPunct w:val="0"/>
        <w:autoSpaceDE w:val="0"/>
        <w:autoSpaceDN w:val="0"/>
        <w:snapToGrid w:val="0"/>
        <w:rPr>
          <w:rFonts w:ascii="宋体" w:eastAsia="宋体" w:hAnsi="宋体"/>
        </w:rPr>
      </w:pPr>
      <w:bookmarkStart w:id="6" w:name="_Toc242559106"/>
      <w:r w:rsidRPr="00247696">
        <w:rPr>
          <w:rFonts w:ascii="宋体" w:eastAsia="宋体" w:hAnsi="宋体"/>
        </w:rPr>
        <w:lastRenderedPageBreak/>
        <w:t>3 方法</w:t>
      </w:r>
      <w:bookmarkEnd w:id="6"/>
    </w:p>
    <w:p w14:paraId="1448C038" w14:textId="77777777" w:rsidR="00374724" w:rsidRPr="00247696" w:rsidRDefault="007F137D">
      <w:pPr>
        <w:pStyle w:val="21"/>
        <w:overflowPunct w:val="0"/>
        <w:autoSpaceDE w:val="0"/>
        <w:autoSpaceDN w:val="0"/>
        <w:snapToGrid w:val="0"/>
        <w:rPr>
          <w:rFonts w:ascii="宋体" w:eastAsia="宋体" w:hAnsi="宋体"/>
        </w:rPr>
      </w:pPr>
      <w:bookmarkStart w:id="7" w:name="_Toc242559107"/>
      <w:r w:rsidRPr="00247696">
        <w:rPr>
          <w:rFonts w:ascii="宋体" w:eastAsia="宋体" w:hAnsi="宋体"/>
        </w:rPr>
        <w:t>3.1 任务定义与整体流程</w:t>
      </w:r>
      <w:bookmarkEnd w:id="7"/>
    </w:p>
    <w:p w14:paraId="4602D7F8" w14:textId="77777777" w:rsidR="00374724" w:rsidRPr="00247696" w:rsidRDefault="007F137D">
      <w:pPr>
        <w:overflowPunct w:val="0"/>
        <w:autoSpaceDE w:val="0"/>
        <w:autoSpaceDN w:val="0"/>
        <w:snapToGrid w:val="0"/>
        <w:rPr>
          <w:rFonts w:ascii="宋体" w:hAnsi="宋体"/>
        </w:rPr>
      </w:pPr>
      <w:r w:rsidRPr="00247696">
        <w:rPr>
          <w:rFonts w:ascii="宋体" w:hAnsi="宋体"/>
        </w:rPr>
        <w:t>设数据集由N个输入标签对组成，每个输入是64维实数向量，标签属于十个数字类别。训练目标是在给定训练样本后，学习对未参与训练的图像进行类别预测的函数。监督信息只用于分类器训练及参数选择；PCA虽然位于监督学习流程中，其拟合本身不读取标签。</w:t>
      </w:r>
    </w:p>
    <w:p w14:paraId="762424B3" w14:textId="77777777" w:rsidR="00374724" w:rsidRPr="00906622" w:rsidRDefault="007F137D">
      <w:pPr>
        <w:overflowPunct w:val="0"/>
        <w:autoSpaceDE w:val="0"/>
        <w:autoSpaceDN w:val="0"/>
        <w:snapToGrid w:val="0"/>
        <w:spacing w:line="440" w:lineRule="exact"/>
        <w:ind w:firstLine="0"/>
        <w:jc w:val="center"/>
        <w:rPr>
          <w:rFonts w:ascii="宋体" w:hAnsi="宋体" w:hint="eastAsia"/>
          <w:i/>
          <w:lang w:eastAsia="zh-CN"/>
        </w:rPr>
      </w:pPr>
      <m:oMathPara>
        <m:oMath>
          <m:r>
            <w:rPr>
              <w:rFonts w:ascii="Cambria Math" w:hAnsi="Cambria Math"/>
            </w:rPr>
            <m:t>D = {(xᵢ, yᵢ)}ᵢ₌₁ᴺ</m:t>
          </m:r>
          <m:r>
            <w:rPr>
              <w:rFonts w:ascii="Cambria Math" w:hAnsi="Cambria Math"/>
            </w:rPr>
            <m:t>，</m:t>
          </m:r>
          <m:r>
            <w:rPr>
              <w:rFonts w:ascii="Cambria Math" w:hAnsi="Cambria Math"/>
            </w:rPr>
            <m:t>xᵢ</m:t>
          </m:r>
          <m:r>
            <m:rPr>
              <m:scr m:val="double-struck"/>
            </m:rPr>
            <w:rPr>
              <w:rFonts w:ascii="Cambria Math" w:hAnsi="Cambria Math"/>
            </w:rPr>
            <m:t xml:space="preserve"> ∈ R⁶⁴</m:t>
          </m:r>
          <m:r>
            <w:rPr>
              <w:rFonts w:ascii="Cambria Math" w:hAnsi="Cambria Math"/>
            </w:rPr>
            <m:t>，</m:t>
          </m:r>
          <m:r>
            <w:rPr>
              <w:rFonts w:ascii="Cambria Math" w:hAnsi="Cambria Math"/>
            </w:rPr>
            <m:t>yᵢ ∈ {0, 1, …, 9}</m:t>
          </m:r>
          <m:r>
            <w:rPr>
              <w:rFonts w:ascii="Cambria Math" w:hAnsi="Cambria Math"/>
            </w:rPr>
            <m:t xml:space="preserve">　　（</m:t>
          </m:r>
          <m:r>
            <w:rPr>
              <w:rFonts w:ascii="Cambria Math" w:hAnsi="Cambria Math"/>
            </w:rPr>
            <m:t>1</m:t>
          </m:r>
          <m:r>
            <w:rPr>
              <w:rFonts w:ascii="Cambria Math" w:hAnsi="Cambria Math"/>
            </w:rPr>
            <m:t>）</m:t>
          </m:r>
        </m:oMath>
      </m:oMathPara>
    </w:p>
    <w:p w14:paraId="63A0DE89" w14:textId="77777777" w:rsidR="00374724" w:rsidRPr="00247696" w:rsidRDefault="007F137D">
      <w:pPr>
        <w:overflowPunct w:val="0"/>
        <w:autoSpaceDE w:val="0"/>
        <w:autoSpaceDN w:val="0"/>
        <w:snapToGrid w:val="0"/>
        <w:rPr>
          <w:rFonts w:ascii="宋体" w:hAnsi="宋体"/>
        </w:rPr>
      </w:pPr>
      <w:r w:rsidRPr="00247696">
        <w:rPr>
          <w:rFonts w:ascii="宋体" w:hAnsi="宋体"/>
        </w:rPr>
        <w:t>整体流程分为开发与评估两个阶段。首先固定训练集和测试集；其次在训练集的交叉验证折中依次拟合标准化、可选PCA和SVM；最后选择训练集平均验证准确率最高的配置，在全部训练数据上重新拟合，并将同一变换链应用于测试集。测试标签不参与均值、标准差、主成分方向或超参数的估计。</w:t>
      </w:r>
    </w:p>
    <w:p w14:paraId="2D86232F" w14:textId="77777777" w:rsidR="00374724" w:rsidRPr="00247696" w:rsidRDefault="007F137D">
      <w:pPr>
        <w:keepNext/>
        <w:overflowPunct w:val="0"/>
        <w:autoSpaceDE w:val="0"/>
        <w:autoSpaceDN w:val="0"/>
        <w:snapToGrid w:val="0"/>
        <w:ind w:firstLine="0"/>
        <w:jc w:val="center"/>
        <w:rPr>
          <w:rFonts w:ascii="宋体" w:hAnsi="宋体"/>
        </w:rPr>
      </w:pPr>
      <w:r w:rsidRPr="00247696">
        <w:rPr>
          <w:rFonts w:ascii="宋体" w:hAnsi="宋体"/>
        </w:rPr>
        <w:t>分层划分 → 训练折标准化 → 可选PCA → RBF-SVM → 折内验证</w:t>
      </w:r>
    </w:p>
    <w:p w14:paraId="0E008DC1" w14:textId="77777777" w:rsidR="00374724" w:rsidRPr="00247696" w:rsidRDefault="007F137D">
      <w:pPr>
        <w:keepNext/>
        <w:overflowPunct w:val="0"/>
        <w:autoSpaceDE w:val="0"/>
        <w:autoSpaceDN w:val="0"/>
        <w:snapToGrid w:val="0"/>
        <w:ind w:firstLine="0"/>
        <w:jc w:val="center"/>
        <w:rPr>
          <w:rFonts w:ascii="宋体" w:hAnsi="宋体"/>
        </w:rPr>
      </w:pPr>
      <w:r w:rsidRPr="00247696">
        <w:rPr>
          <w:rFonts w:ascii="宋体" w:hAnsi="宋体"/>
        </w:rPr>
        <w:t>选定参数 → 全训练集重拟合 → 固定测试集评估</w:t>
      </w:r>
    </w:p>
    <w:p w14:paraId="464AEA1F" w14:textId="77777777" w:rsidR="00374724" w:rsidRPr="00247696" w:rsidRDefault="007F137D">
      <w:pPr>
        <w:pStyle w:val="af7"/>
        <w:overflowPunct w:val="0"/>
        <w:autoSpaceDE w:val="0"/>
        <w:autoSpaceDN w:val="0"/>
        <w:snapToGrid w:val="0"/>
        <w:spacing w:after="80" w:line="300" w:lineRule="exact"/>
        <w:jc w:val="center"/>
        <w:rPr>
          <w:rFonts w:ascii="宋体" w:hAnsi="宋体"/>
        </w:rPr>
      </w:pPr>
      <w:r w:rsidRPr="00247696">
        <w:rPr>
          <w:rFonts w:ascii="宋体" w:hAnsi="宋体"/>
        </w:rPr>
        <w:t>图1  无测试信息泄漏的训练与评估流程</w:t>
      </w:r>
    </w:p>
    <w:p w14:paraId="43048C44" w14:textId="77777777" w:rsidR="00374724" w:rsidRPr="00247696" w:rsidRDefault="007F137D">
      <w:pPr>
        <w:pStyle w:val="21"/>
        <w:overflowPunct w:val="0"/>
        <w:autoSpaceDE w:val="0"/>
        <w:autoSpaceDN w:val="0"/>
        <w:snapToGrid w:val="0"/>
        <w:rPr>
          <w:rFonts w:ascii="宋体" w:eastAsia="宋体" w:hAnsi="宋体"/>
        </w:rPr>
      </w:pPr>
      <w:bookmarkStart w:id="8" w:name="_Toc242559108"/>
      <w:r w:rsidRPr="00247696">
        <w:rPr>
          <w:rFonts w:ascii="宋体" w:eastAsia="宋体" w:hAnsi="宋体"/>
        </w:rPr>
        <w:t>3.2 标准化与零方差特征</w:t>
      </w:r>
      <w:bookmarkEnd w:id="8"/>
    </w:p>
    <w:p w14:paraId="2085E0DA" w14:textId="77777777" w:rsidR="00374724" w:rsidRPr="00247696" w:rsidRDefault="007F137D">
      <w:pPr>
        <w:overflowPunct w:val="0"/>
        <w:autoSpaceDE w:val="0"/>
        <w:autoSpaceDN w:val="0"/>
        <w:snapToGrid w:val="0"/>
        <w:rPr>
          <w:rFonts w:ascii="宋体" w:hAnsi="宋体"/>
        </w:rPr>
      </w:pPr>
      <w:r w:rsidRPr="00247696">
        <w:rPr>
          <w:rFonts w:ascii="宋体" w:hAnsi="宋体"/>
        </w:rPr>
        <w:t>对于第j个像素，标准化使用当前训练部分的均值μ</w:t>
      </w:r>
      <w:r w:rsidRPr="00247696">
        <w:rPr>
          <w:rFonts w:cs="Times New Roman"/>
        </w:rPr>
        <w:t>ⱼ</w:t>
      </w:r>
      <w:r w:rsidRPr="00247696">
        <w:rPr>
          <w:rFonts w:ascii="宋体" w:hAnsi="宋体"/>
        </w:rPr>
        <w:t>和标准差s</w:t>
      </w:r>
      <w:r w:rsidRPr="00247696">
        <w:rPr>
          <w:rFonts w:cs="Times New Roman"/>
        </w:rPr>
        <w:t>ⱼ</w:t>
      </w:r>
      <w:r w:rsidRPr="00247696">
        <w:rPr>
          <w:rFonts w:ascii="宋体" w:hAnsi="宋体"/>
        </w:rPr>
        <w:t>，将像素值转换为相对该训练分布的偏离量。原始像素的取值范围都是0至16，但不同空间位置的波动程度不同，因此相同取值范围并不意味着相同方差。标准化会重新分配这些位置对欧氏距离的贡献，而不是仅做数值单位换算。</w:t>
      </w:r>
    </w:p>
    <w:p w14:paraId="4B0FBDFF" w14:textId="77777777" w:rsidR="00374724" w:rsidRPr="00247696" w:rsidRDefault="007F137D">
      <w:pPr>
        <w:overflowPunct w:val="0"/>
        <w:autoSpaceDE w:val="0"/>
        <w:autoSpaceDN w:val="0"/>
        <w:snapToGrid w:val="0"/>
        <w:spacing w:line="440" w:lineRule="exact"/>
        <w:ind w:firstLine="0"/>
        <w:jc w:val="center"/>
        <w:rPr>
          <w:rFonts w:ascii="宋体" w:hAnsi="宋体"/>
        </w:rPr>
      </w:pPr>
      <m:oMathPara>
        <m:oMath>
          <m:r>
            <w:rPr>
              <w:rFonts w:ascii="Cambria Math" w:hAnsi="Cambria Math"/>
            </w:rPr>
            <m:t>zᵢⱼ = (xᵢⱼ - μⱼ) / sⱼ</m:t>
          </m:r>
          <m:r>
            <w:rPr>
              <w:rFonts w:ascii="Cambria Math" w:hAnsi="Cambria Math"/>
            </w:rPr>
            <m:t xml:space="preserve">　　（</m:t>
          </m:r>
          <m:r>
            <w:rPr>
              <w:rFonts w:ascii="Cambria Math" w:hAnsi="Cambria Math"/>
            </w:rPr>
            <m:t>2</m:t>
          </m:r>
          <m:r>
            <w:rPr>
              <w:rFonts w:ascii="Cambria Math" w:hAnsi="Cambria Math"/>
            </w:rPr>
            <m:t>）</m:t>
          </m:r>
        </m:oMath>
      </m:oMathPara>
    </w:p>
    <w:p w14:paraId="35F8BF52" w14:textId="77777777" w:rsidR="00374724" w:rsidRPr="00247696" w:rsidRDefault="007F137D">
      <w:pPr>
        <w:overflowPunct w:val="0"/>
        <w:autoSpaceDE w:val="0"/>
        <w:autoSpaceDN w:val="0"/>
        <w:snapToGrid w:val="0"/>
        <w:rPr>
          <w:rFonts w:ascii="宋体" w:hAnsi="宋体"/>
        </w:rPr>
      </w:pPr>
      <w:r w:rsidRPr="00247696">
        <w:rPr>
          <w:rFonts w:ascii="宋体" w:hAnsi="宋体"/>
        </w:rPr>
        <w:t>在完整的1347个训练样本中，有3个像素列的方差为零。StandardScaler对零方差特征采用缩放因子1以避免除零；在训练数据中，这些列中心化后为零。本文未手工删除这些列，所以无PCA基线的输入仍记为64维。标准化不等同于降维，而且在新的图像分布下仍需使用训练时保存的参数。</w:t>
      </w:r>
    </w:p>
    <w:p w14:paraId="22D084E8" w14:textId="77777777" w:rsidR="00374724" w:rsidRPr="00247696" w:rsidRDefault="007F137D">
      <w:pPr>
        <w:pStyle w:val="21"/>
        <w:overflowPunct w:val="0"/>
        <w:autoSpaceDE w:val="0"/>
        <w:autoSpaceDN w:val="0"/>
        <w:snapToGrid w:val="0"/>
        <w:rPr>
          <w:rFonts w:ascii="宋体" w:eastAsia="宋体" w:hAnsi="宋体"/>
        </w:rPr>
      </w:pPr>
      <w:bookmarkStart w:id="9" w:name="_Toc242559109"/>
      <w:r w:rsidRPr="00247696">
        <w:rPr>
          <w:rFonts w:ascii="宋体" w:eastAsia="宋体" w:hAnsi="宋体"/>
        </w:rPr>
        <w:t>3.3 基于方差阈值的PCA压缩</w:t>
      </w:r>
      <w:bookmarkEnd w:id="9"/>
    </w:p>
    <w:p w14:paraId="34878323" w14:textId="77777777" w:rsidR="00374724" w:rsidRPr="00247696" w:rsidRDefault="007F137D">
      <w:pPr>
        <w:overflowPunct w:val="0"/>
        <w:autoSpaceDE w:val="0"/>
        <w:autoSpaceDN w:val="0"/>
        <w:snapToGrid w:val="0"/>
        <w:rPr>
          <w:rFonts w:ascii="宋体" w:hAnsi="宋体"/>
        </w:rPr>
      </w:pPr>
      <w:r w:rsidRPr="00247696">
        <w:rPr>
          <w:rFonts w:ascii="宋体" w:hAnsi="宋体"/>
        </w:rPr>
        <w:t>将标准化后的训练数据再次按PCA实现的要求中心化，记为矩阵Z。对其协方差矩阵作特征分解，将特征值按从大到小排序，前k个特征向量组成投影矩阵V</w:t>
      </w:r>
      <w:r w:rsidRPr="00247696">
        <w:rPr>
          <w:rFonts w:ascii="Cambria Math" w:hAnsi="Cambria Math" w:cs="Cambria Math"/>
        </w:rPr>
        <w:t>ₖ</w:t>
      </w:r>
      <w:r w:rsidRPr="00247696">
        <w:rPr>
          <w:rFonts w:ascii="宋体" w:hAnsi="宋体"/>
        </w:rPr>
        <w:t>。对新样本，先使用训练得到的中心化参数，再投影至同一组主成分方向，不在测试样本上重新估计投影。</w:t>
      </w:r>
    </w:p>
    <w:p w14:paraId="4DBE9ACC" w14:textId="77777777" w:rsidR="00374724" w:rsidRPr="00247696" w:rsidRDefault="007F137D">
      <w:pPr>
        <w:overflowPunct w:val="0"/>
        <w:autoSpaceDE w:val="0"/>
        <w:autoSpaceDN w:val="0"/>
        <w:snapToGrid w:val="0"/>
        <w:spacing w:line="440" w:lineRule="exact"/>
        <w:ind w:firstLine="0"/>
        <w:jc w:val="center"/>
        <w:rPr>
          <w:rFonts w:ascii="宋体" w:hAnsi="宋体"/>
        </w:rPr>
      </w:pPr>
      <m:oMathPara>
        <m:oMath>
          <m:r>
            <w:rPr>
              <w:rFonts w:ascii="Cambria Math" w:hAnsi="Cambria Math"/>
            </w:rPr>
            <m:t>Σ = ZᵀZ / (n - 1)</m:t>
          </m:r>
          <m:r>
            <w:rPr>
              <w:rFonts w:ascii="Cambria Math" w:hAnsi="Cambria Math"/>
            </w:rPr>
            <m:t>，</m:t>
          </m:r>
          <m:r>
            <w:rPr>
              <w:rFonts w:ascii="Cambria Math" w:hAnsi="Cambria Math"/>
            </w:rPr>
            <m:t>Σvⱼ = λⱼvⱼ</m:t>
          </m:r>
          <m:r>
            <w:rPr>
              <w:rFonts w:ascii="Cambria Math" w:hAnsi="Cambria Math"/>
            </w:rPr>
            <m:t>，</m:t>
          </m:r>
          <m:r>
            <w:rPr>
              <w:rFonts w:ascii="Cambria Math" w:hAnsi="Cambria Math"/>
            </w:rPr>
            <m:t>uᵢ = Vₖᵀzᵢ</m:t>
          </m:r>
          <m:r>
            <w:rPr>
              <w:rFonts w:ascii="Cambria Math" w:hAnsi="Cambria Math"/>
            </w:rPr>
            <m:t xml:space="preserve">　　（</m:t>
          </m:r>
          <m:r>
            <w:rPr>
              <w:rFonts w:ascii="Cambria Math" w:hAnsi="Cambria Math"/>
            </w:rPr>
            <m:t>3</m:t>
          </m:r>
          <m:r>
            <w:rPr>
              <w:rFonts w:ascii="Cambria Math" w:hAnsi="Cambria Math"/>
            </w:rPr>
            <m:t>）</m:t>
          </m:r>
        </m:oMath>
      </m:oMathPara>
    </w:p>
    <w:p w14:paraId="24457015" w14:textId="77777777" w:rsidR="00374724" w:rsidRPr="00247696" w:rsidRDefault="007F137D">
      <w:pPr>
        <w:overflowPunct w:val="0"/>
        <w:autoSpaceDE w:val="0"/>
        <w:autoSpaceDN w:val="0"/>
        <w:snapToGrid w:val="0"/>
        <w:rPr>
          <w:rFonts w:ascii="宋体" w:hAnsi="宋体"/>
        </w:rPr>
      </w:pPr>
      <w:r w:rsidRPr="00247696">
        <w:rPr>
          <w:rFonts w:ascii="宋体" w:hAnsi="宋体"/>
        </w:rPr>
        <w:t>本文采用累计解释方差阈值ρ选择最小可用维数k，而不是保证投影后恰好等于某个方差比例。最后一个被保留的主成分通常会使累计比例略高于阈值。具体候选值设</w:t>
      </w:r>
      <w:r w:rsidRPr="00247696">
        <w:rPr>
          <w:rFonts w:ascii="宋体" w:hAnsi="宋体"/>
        </w:rPr>
        <w:lastRenderedPageBreak/>
        <w:t>为0.80、0.90、0.95和0.99，以覆盖较强压缩到接近完整保留的范围。PCA使用full SVD求解，不开启白化，避免在压缩之外再引入分量方差重标定。</w:t>
      </w:r>
    </w:p>
    <w:p w14:paraId="16E9A5A8" w14:textId="77777777" w:rsidR="00374724" w:rsidRPr="00247696" w:rsidRDefault="007F137D">
      <w:pPr>
        <w:overflowPunct w:val="0"/>
        <w:autoSpaceDE w:val="0"/>
        <w:autoSpaceDN w:val="0"/>
        <w:snapToGrid w:val="0"/>
        <w:spacing w:line="440" w:lineRule="exact"/>
        <w:ind w:firstLine="0"/>
        <w:jc w:val="center"/>
        <w:rPr>
          <w:rFonts w:ascii="宋体" w:hAnsi="宋体"/>
        </w:rPr>
      </w:pPr>
      <m:oMathPara>
        <m:oMath>
          <m:r>
            <w:rPr>
              <w:rFonts w:ascii="Cambria Math" w:hAnsi="Cambria Math"/>
            </w:rPr>
            <m:t>k = min{q : (λ₁ + ⋯ + λq) / (λ₁ + ⋯ + λd) ≥ ρ}</m:t>
          </m:r>
          <m:r>
            <w:rPr>
              <w:rFonts w:ascii="Cambria Math" w:hAnsi="Cambria Math"/>
            </w:rPr>
            <m:t xml:space="preserve">　　（</m:t>
          </m:r>
          <m:r>
            <w:rPr>
              <w:rFonts w:ascii="Cambria Math" w:hAnsi="Cambria Math"/>
            </w:rPr>
            <m:t>4</m:t>
          </m:r>
          <m:r>
            <w:rPr>
              <w:rFonts w:ascii="Cambria Math" w:hAnsi="Cambria Math"/>
            </w:rPr>
            <m:t>）</m:t>
          </m:r>
        </m:oMath>
      </m:oMathPara>
    </w:p>
    <w:p w14:paraId="1C84D136" w14:textId="77777777" w:rsidR="00374724" w:rsidRPr="00247696" w:rsidRDefault="007F137D">
      <w:pPr>
        <w:overflowPunct w:val="0"/>
        <w:autoSpaceDE w:val="0"/>
        <w:autoSpaceDN w:val="0"/>
        <w:snapToGrid w:val="0"/>
        <w:rPr>
          <w:rFonts w:ascii="宋体" w:hAnsi="宋体"/>
        </w:rPr>
      </w:pPr>
      <w:r w:rsidRPr="00247696">
        <w:rPr>
          <w:rFonts w:ascii="宋体" w:hAnsi="宋体"/>
        </w:rPr>
        <w:t>这里保留的是标准化后训练特征的方差，不能解释为保留原始图像中相同比例的语义信息。PCA只优化表示的方差结构，没有直接优化分类损失。该差异正是本文需要设置基线和压缩敏感性实验的原因：若低方差方向携带关键笔画信息，即使重构意义上的损失较小，也可能改变分类结果。</w:t>
      </w:r>
    </w:p>
    <w:p w14:paraId="2E5ABA6B" w14:textId="77777777" w:rsidR="00374724" w:rsidRPr="00247696" w:rsidRDefault="007F137D">
      <w:pPr>
        <w:pStyle w:val="21"/>
        <w:overflowPunct w:val="0"/>
        <w:autoSpaceDE w:val="0"/>
        <w:autoSpaceDN w:val="0"/>
        <w:snapToGrid w:val="0"/>
        <w:rPr>
          <w:rFonts w:ascii="宋体" w:eastAsia="宋体" w:hAnsi="宋体"/>
        </w:rPr>
      </w:pPr>
      <w:bookmarkStart w:id="10" w:name="_Toc242559110"/>
      <w:r w:rsidRPr="00247696">
        <w:rPr>
          <w:rFonts w:ascii="宋体" w:eastAsia="宋体" w:hAnsi="宋体"/>
        </w:rPr>
        <w:t>3.4 RBF核与学习目标</w:t>
      </w:r>
      <w:bookmarkEnd w:id="10"/>
    </w:p>
    <w:p w14:paraId="69AE5E61" w14:textId="77777777" w:rsidR="00374724" w:rsidRPr="00247696" w:rsidRDefault="007F137D">
      <w:pPr>
        <w:overflowPunct w:val="0"/>
        <w:autoSpaceDE w:val="0"/>
        <w:autoSpaceDN w:val="0"/>
        <w:snapToGrid w:val="0"/>
        <w:rPr>
          <w:rFonts w:ascii="宋体" w:hAnsi="宋体"/>
        </w:rPr>
      </w:pPr>
      <w:r w:rsidRPr="00247696">
        <w:rPr>
          <w:rFonts w:ascii="宋体" w:hAnsi="宋体"/>
        </w:rPr>
        <w:t>在标准化空间或PCA投影空间中，RBF核通过输入距离衡量相似性。对二分类子问题，软间隔SVM在控制模型复杂度的同时惩罚训练样本的间隔违反量。下面的式子描述一个子分类器；最终十分类由SVC内部的一对一训练与预测机制完成。</w:t>
      </w:r>
    </w:p>
    <w:p w14:paraId="6167A254" w14:textId="77777777" w:rsidR="00374724" w:rsidRPr="00247696" w:rsidRDefault="007F137D">
      <w:pPr>
        <w:overflowPunct w:val="0"/>
        <w:autoSpaceDE w:val="0"/>
        <w:autoSpaceDN w:val="0"/>
        <w:snapToGrid w:val="0"/>
        <w:spacing w:line="440" w:lineRule="exact"/>
        <w:ind w:firstLine="0"/>
        <w:jc w:val="center"/>
        <w:rPr>
          <w:rFonts w:ascii="宋体" w:hAnsi="宋体"/>
        </w:rPr>
      </w:pPr>
      <m:oMathPara>
        <m:oMath>
          <m:r>
            <w:rPr>
              <w:rFonts w:ascii="Cambria Math" w:hAnsi="Cambria Math"/>
            </w:rPr>
            <m:t>K(u, v) = exp(-γ‖u - v‖²)</m:t>
          </m:r>
          <m:r>
            <w:rPr>
              <w:rFonts w:ascii="Cambria Math" w:hAnsi="Cambria Math"/>
            </w:rPr>
            <m:t xml:space="preserve">　　（</m:t>
          </m:r>
          <m:r>
            <w:rPr>
              <w:rFonts w:ascii="Cambria Math" w:hAnsi="Cambria Math"/>
            </w:rPr>
            <m:t>5</m:t>
          </m:r>
          <m:r>
            <w:rPr>
              <w:rFonts w:ascii="Cambria Math" w:hAnsi="Cambria Math"/>
            </w:rPr>
            <m:t>）</m:t>
          </m:r>
        </m:oMath>
      </m:oMathPara>
    </w:p>
    <w:p w14:paraId="5FCB4A5A" w14:textId="77777777" w:rsidR="00374724" w:rsidRPr="00247696" w:rsidRDefault="007F137D">
      <w:pPr>
        <w:overflowPunct w:val="0"/>
        <w:autoSpaceDE w:val="0"/>
        <w:autoSpaceDN w:val="0"/>
        <w:snapToGrid w:val="0"/>
        <w:spacing w:line="440" w:lineRule="exact"/>
        <w:ind w:firstLine="0"/>
        <w:jc w:val="center"/>
        <w:rPr>
          <w:rFonts w:ascii="宋体" w:hAnsi="宋体"/>
        </w:rPr>
      </w:pPr>
      <m:oMathPara>
        <m:oMath>
          <m:r>
            <w:rPr>
              <w:rFonts w:ascii="Cambria Math" w:hAnsi="Cambria Math"/>
            </w:rPr>
            <m:t>min ½‖w‖² + C∑ᵢξᵢ</m:t>
          </m:r>
          <m:r>
            <w:rPr>
              <w:rFonts w:ascii="Cambria Math" w:hAnsi="Cambria Math"/>
            </w:rPr>
            <m:t>，约束</m:t>
          </m:r>
          <m:r>
            <w:rPr>
              <w:rFonts w:ascii="Cambria Math" w:hAnsi="Cambria Math"/>
            </w:rPr>
            <m:t xml:space="preserve"> tᵢ(wᵀφ(uᵢ) + b) ≥ 1 - ξᵢ</m:t>
          </m:r>
          <m:r>
            <w:rPr>
              <w:rFonts w:ascii="Cambria Math" w:hAnsi="Cambria Math"/>
            </w:rPr>
            <m:t>，</m:t>
          </m:r>
          <m:r>
            <w:rPr>
              <w:rFonts w:ascii="Cambria Math" w:hAnsi="Cambria Math"/>
            </w:rPr>
            <m:t>ξᵢ ≥ 0</m:t>
          </m:r>
          <m:r>
            <w:rPr>
              <w:rFonts w:ascii="Cambria Math" w:hAnsi="Cambria Math"/>
            </w:rPr>
            <m:t xml:space="preserve">　　（</m:t>
          </m:r>
          <m:r>
            <w:rPr>
              <w:rFonts w:ascii="Cambria Math" w:hAnsi="Cambria Math"/>
            </w:rPr>
            <m:t>6</m:t>
          </m:r>
          <m:r>
            <w:rPr>
              <w:rFonts w:ascii="Cambria Math" w:hAnsi="Cambria Math"/>
            </w:rPr>
            <m:t>）</m:t>
          </m:r>
        </m:oMath>
      </m:oMathPara>
    </w:p>
    <w:p w14:paraId="14F056BC" w14:textId="77777777" w:rsidR="00374724" w:rsidRPr="00247696" w:rsidRDefault="007F137D">
      <w:pPr>
        <w:overflowPunct w:val="0"/>
        <w:autoSpaceDE w:val="0"/>
        <w:autoSpaceDN w:val="0"/>
        <w:snapToGrid w:val="0"/>
        <w:rPr>
          <w:rFonts w:ascii="宋体" w:hAnsi="宋体"/>
        </w:rPr>
      </w:pPr>
      <w:r w:rsidRPr="00247696">
        <w:rPr>
          <w:rFonts w:ascii="宋体" w:hAnsi="宋体"/>
        </w:rPr>
        <w:t>式中t</w:t>
      </w:r>
      <w:r w:rsidRPr="00247696">
        <w:rPr>
          <w:rFonts w:cs="Times New Roman"/>
        </w:rPr>
        <w:t>ᵢ</w:t>
      </w:r>
      <w:r w:rsidRPr="00247696">
        <w:rPr>
          <w:rFonts w:ascii="宋体" w:hAnsi="宋体"/>
        </w:rPr>
        <w:t>为二分类标签，φ是核对应的隐式映射，ξ</w:t>
      </w:r>
      <w:r w:rsidRPr="00247696">
        <w:rPr>
          <w:rFonts w:cs="Times New Roman"/>
        </w:rPr>
        <w:t>ᵢ</w:t>
      </w:r>
      <w:r w:rsidRPr="00247696">
        <w:rPr>
          <w:rFonts w:ascii="宋体" w:hAnsi="宋体"/>
        </w:rPr>
        <w:t>是松弛变量。较大的C提高错误代价，较大的gamma使相似度随距离更快衰减。本文搜索C∈{1,10,100}与gamma∈{scale,0.001,0.01,0.1}。其中scale是实现提供的数据依赖默认值，不是固定数值；因此在控制变量实验中使用显式gamma=0.01。</w:t>
      </w:r>
    </w:p>
    <w:p w14:paraId="633C1D52" w14:textId="77777777" w:rsidR="00374724" w:rsidRPr="00247696" w:rsidRDefault="007F137D">
      <w:pPr>
        <w:pStyle w:val="21"/>
        <w:overflowPunct w:val="0"/>
        <w:autoSpaceDE w:val="0"/>
        <w:autoSpaceDN w:val="0"/>
        <w:snapToGrid w:val="0"/>
        <w:rPr>
          <w:rFonts w:ascii="宋体" w:eastAsia="宋体" w:hAnsi="宋体"/>
        </w:rPr>
      </w:pPr>
      <w:bookmarkStart w:id="11" w:name="_Toc242559111"/>
      <w:r w:rsidRPr="00247696">
        <w:rPr>
          <w:rFonts w:ascii="宋体" w:eastAsia="宋体" w:hAnsi="宋体"/>
        </w:rPr>
        <w:t>3.5 模型选择与对照设计</w:t>
      </w:r>
      <w:bookmarkEnd w:id="11"/>
    </w:p>
    <w:p w14:paraId="143DC761" w14:textId="77777777" w:rsidR="00374724" w:rsidRPr="00247696" w:rsidRDefault="007F137D">
      <w:pPr>
        <w:overflowPunct w:val="0"/>
        <w:autoSpaceDE w:val="0"/>
        <w:autoSpaceDN w:val="0"/>
        <w:snapToGrid w:val="0"/>
        <w:rPr>
          <w:rFonts w:ascii="宋体" w:hAnsi="宋体"/>
        </w:rPr>
      </w:pPr>
      <w:r w:rsidRPr="00247696">
        <w:rPr>
          <w:rFonts w:ascii="宋体" w:hAnsi="宋体"/>
        </w:rPr>
        <w:t>主要比较包含两个经过各自调参的流程：M1为标准化加RBF-SVM，M2在标准化与分类器之间加入PCA。M1有12组配置，M2有48组配置，每组均进行五折分层交叉验证。两者采用相同的训练数据和折索引，评分标准均为准确率。最终选择以完整训练集重新拟合后的模型用于留出测试。</w:t>
      </w:r>
    </w:p>
    <w:p w14:paraId="21169FFE" w14:textId="77777777" w:rsidR="00374724" w:rsidRPr="00247696" w:rsidRDefault="007F137D">
      <w:pPr>
        <w:overflowPunct w:val="0"/>
        <w:autoSpaceDE w:val="0"/>
        <w:autoSpaceDN w:val="0"/>
        <w:snapToGrid w:val="0"/>
        <w:rPr>
          <w:rFonts w:ascii="宋体" w:hAnsi="宋体"/>
        </w:rPr>
      </w:pPr>
      <w:r w:rsidRPr="00247696">
        <w:rPr>
          <w:rFonts w:ascii="宋体" w:hAnsi="宋体"/>
        </w:rPr>
        <w:t>另保留固定95%方差、默认SVC参数的M3作为低调参成本参考。M3同时改变PCA阈值和分类器参数，不能据其与M2的差异单独推断PCA效果。为弥补这一点，补充实验固定C=10、gamma=0.01，只改变PCA阈值，并使用原训练集折进行评价。补充分析是在既有结果之后开展的解释性实验，不使用它修改主比较的测试结果。</w:t>
      </w:r>
    </w:p>
    <w:p w14:paraId="28C2FDCF" w14:textId="77777777" w:rsidR="00906622" w:rsidRDefault="00906622">
      <w:pPr>
        <w:spacing w:after="200" w:line="276" w:lineRule="auto"/>
        <w:ind w:firstLine="0"/>
        <w:rPr>
          <w:rFonts w:ascii="宋体" w:hAnsi="宋体" w:cstheme="majorBidi" w:hint="eastAsia"/>
          <w:b/>
          <w:bCs/>
          <w:sz w:val="28"/>
          <w:szCs w:val="28"/>
        </w:rPr>
      </w:pPr>
      <w:bookmarkStart w:id="12" w:name="_Toc242559112"/>
      <w:r>
        <w:rPr>
          <w:rFonts w:ascii="宋体" w:hAnsi="宋体" w:hint="eastAsia"/>
        </w:rPr>
        <w:br w:type="page"/>
      </w:r>
    </w:p>
    <w:p w14:paraId="7C049F3F" w14:textId="2D441AC0" w:rsidR="00374724" w:rsidRPr="00247696" w:rsidRDefault="007F137D">
      <w:pPr>
        <w:pStyle w:val="1"/>
        <w:overflowPunct w:val="0"/>
        <w:autoSpaceDE w:val="0"/>
        <w:autoSpaceDN w:val="0"/>
        <w:snapToGrid w:val="0"/>
        <w:rPr>
          <w:rFonts w:ascii="宋体" w:eastAsia="宋体" w:hAnsi="宋体"/>
        </w:rPr>
      </w:pPr>
      <w:r w:rsidRPr="00247696">
        <w:rPr>
          <w:rFonts w:ascii="宋体" w:eastAsia="宋体" w:hAnsi="宋体"/>
        </w:rPr>
        <w:lastRenderedPageBreak/>
        <w:t>4 实验</w:t>
      </w:r>
      <w:bookmarkEnd w:id="12"/>
    </w:p>
    <w:p w14:paraId="585E3B22" w14:textId="77777777" w:rsidR="00374724" w:rsidRPr="00247696" w:rsidRDefault="007F137D">
      <w:pPr>
        <w:pStyle w:val="21"/>
        <w:overflowPunct w:val="0"/>
        <w:autoSpaceDE w:val="0"/>
        <w:autoSpaceDN w:val="0"/>
        <w:snapToGrid w:val="0"/>
        <w:rPr>
          <w:rFonts w:ascii="宋体" w:eastAsia="宋体" w:hAnsi="宋体"/>
        </w:rPr>
      </w:pPr>
      <w:bookmarkStart w:id="13" w:name="_Toc242559113"/>
      <w:r w:rsidRPr="00247696">
        <w:rPr>
          <w:rFonts w:ascii="宋体" w:eastAsia="宋体" w:hAnsi="宋体"/>
        </w:rPr>
        <w:t>4.1 数据集与划分协议</w:t>
      </w:r>
      <w:bookmarkEnd w:id="13"/>
    </w:p>
    <w:p w14:paraId="320F5BF2" w14:textId="77777777" w:rsidR="00374724" w:rsidRPr="00247696" w:rsidRDefault="007F137D">
      <w:pPr>
        <w:overflowPunct w:val="0"/>
        <w:autoSpaceDE w:val="0"/>
        <w:autoSpaceDN w:val="0"/>
        <w:snapToGrid w:val="0"/>
        <w:rPr>
          <w:rFonts w:ascii="宋体" w:hAnsi="宋体"/>
        </w:rPr>
      </w:pPr>
      <w:r w:rsidRPr="00247696">
        <w:rPr>
          <w:rFonts w:ascii="宋体" w:hAnsi="宋体"/>
        </w:rPr>
        <w:t>数据包含1797个数字图像，类别规模为174至183个样本，总体接近平衡。按类别分层划分后，训练集为1347个样本，测试集为450个样本，随机种子固定为42。训练集内使用五折分层交叉验证，同样设置shuffle=True与random_state=42。本文没有进行旋转、平移或噪声增强，因此实验只评价给定图像分布中的分类能力。</w:t>
      </w:r>
    </w:p>
    <w:p w14:paraId="12472F87" w14:textId="77777777" w:rsidR="00374724" w:rsidRPr="00247696" w:rsidRDefault="007F137D">
      <w:pPr>
        <w:pStyle w:val="af7"/>
        <w:keepNext/>
        <w:overflowPunct w:val="0"/>
        <w:autoSpaceDE w:val="0"/>
        <w:autoSpaceDN w:val="0"/>
        <w:snapToGrid w:val="0"/>
        <w:spacing w:after="80" w:line="300" w:lineRule="exact"/>
        <w:jc w:val="center"/>
        <w:rPr>
          <w:rFonts w:ascii="宋体" w:hAnsi="宋体"/>
        </w:rPr>
      </w:pPr>
      <w:r w:rsidRPr="00247696">
        <w:rPr>
          <w:rFonts w:ascii="宋体" w:hAnsi="宋体"/>
        </w:rPr>
        <w:t>表1  数据与评估协议</w:t>
      </w:r>
    </w:p>
    <w:tbl>
      <w:tblPr>
        <w:tblW w:w="0" w:type="auto"/>
        <w:jc w:val="center"/>
        <w:tblLayout w:type="fixed"/>
        <w:tblLook w:val="04A0" w:firstRow="1" w:lastRow="0" w:firstColumn="1" w:lastColumn="0" w:noHBand="0" w:noVBand="1"/>
      </w:tblPr>
      <w:tblGrid>
        <w:gridCol w:w="2438"/>
        <w:gridCol w:w="6633"/>
      </w:tblGrid>
      <w:tr w:rsidR="00374724" w:rsidRPr="00247696" w14:paraId="35A27ADF" w14:textId="77777777">
        <w:trPr>
          <w:cantSplit/>
          <w:tblHeader/>
          <w:jc w:val="center"/>
        </w:trPr>
        <w:tc>
          <w:tcPr>
            <w:tcW w:w="2438" w:type="dxa"/>
            <w:tcBorders>
              <w:top w:val="single" w:sz="10" w:space="0" w:color="auto"/>
              <w:bottom w:val="single" w:sz="5" w:space="0" w:color="auto"/>
            </w:tcBorders>
            <w:vAlign w:val="center"/>
          </w:tcPr>
          <w:p w14:paraId="4FF71500"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项目</w:t>
            </w:r>
          </w:p>
        </w:tc>
        <w:tc>
          <w:tcPr>
            <w:tcW w:w="6633" w:type="dxa"/>
            <w:tcBorders>
              <w:top w:val="single" w:sz="10" w:space="0" w:color="auto"/>
              <w:bottom w:val="single" w:sz="5" w:space="0" w:color="auto"/>
            </w:tcBorders>
            <w:vAlign w:val="center"/>
          </w:tcPr>
          <w:p w14:paraId="54ED7B5D"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设置</w:t>
            </w:r>
          </w:p>
        </w:tc>
      </w:tr>
      <w:tr w:rsidR="00374724" w:rsidRPr="00247696" w14:paraId="1F67FCCF" w14:textId="77777777">
        <w:trPr>
          <w:cantSplit/>
          <w:jc w:val="center"/>
        </w:trPr>
        <w:tc>
          <w:tcPr>
            <w:tcW w:w="2438" w:type="dxa"/>
            <w:vAlign w:val="center"/>
          </w:tcPr>
          <w:p w14:paraId="35509FEB"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图像与特征</w:t>
            </w:r>
          </w:p>
        </w:tc>
        <w:tc>
          <w:tcPr>
            <w:tcW w:w="6633" w:type="dxa"/>
            <w:vAlign w:val="center"/>
          </w:tcPr>
          <w:p w14:paraId="7113CB37"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8×8灰度图像，64维，像素值0至16</w:t>
            </w:r>
          </w:p>
        </w:tc>
      </w:tr>
      <w:tr w:rsidR="00374724" w:rsidRPr="00247696" w14:paraId="5ECE286F" w14:textId="77777777">
        <w:trPr>
          <w:cantSplit/>
          <w:jc w:val="center"/>
        </w:trPr>
        <w:tc>
          <w:tcPr>
            <w:tcW w:w="2438" w:type="dxa"/>
            <w:vAlign w:val="center"/>
          </w:tcPr>
          <w:p w14:paraId="735A668A"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数据规模</w:t>
            </w:r>
          </w:p>
        </w:tc>
        <w:tc>
          <w:tcPr>
            <w:tcW w:w="6633" w:type="dxa"/>
            <w:vAlign w:val="center"/>
          </w:tcPr>
          <w:p w14:paraId="6E1CB810"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1797个样本，10个类别</w:t>
            </w:r>
          </w:p>
        </w:tc>
      </w:tr>
      <w:tr w:rsidR="00374724" w:rsidRPr="00247696" w14:paraId="565FC12C" w14:textId="77777777">
        <w:trPr>
          <w:cantSplit/>
          <w:jc w:val="center"/>
        </w:trPr>
        <w:tc>
          <w:tcPr>
            <w:tcW w:w="2438" w:type="dxa"/>
            <w:vAlign w:val="center"/>
          </w:tcPr>
          <w:p w14:paraId="25F21673"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训练集 / 测试集</w:t>
            </w:r>
          </w:p>
        </w:tc>
        <w:tc>
          <w:tcPr>
            <w:tcW w:w="6633" w:type="dxa"/>
            <w:vAlign w:val="center"/>
          </w:tcPr>
          <w:p w14:paraId="5353F160"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1347 / 450，按类别分层</w:t>
            </w:r>
          </w:p>
        </w:tc>
      </w:tr>
      <w:tr w:rsidR="00374724" w:rsidRPr="00247696" w14:paraId="397C6D0F" w14:textId="77777777">
        <w:trPr>
          <w:cantSplit/>
          <w:jc w:val="center"/>
        </w:trPr>
        <w:tc>
          <w:tcPr>
            <w:tcW w:w="2438" w:type="dxa"/>
            <w:vAlign w:val="center"/>
          </w:tcPr>
          <w:p w14:paraId="328291E6"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训练集内验证</w:t>
            </w:r>
          </w:p>
        </w:tc>
        <w:tc>
          <w:tcPr>
            <w:tcW w:w="6633" w:type="dxa"/>
            <w:vAlign w:val="center"/>
          </w:tcPr>
          <w:p w14:paraId="5623E105"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五折分层，打乱，随机种子42</w:t>
            </w:r>
          </w:p>
        </w:tc>
      </w:tr>
      <w:tr w:rsidR="00374724" w:rsidRPr="00247696" w14:paraId="3FE7D982" w14:textId="77777777">
        <w:trPr>
          <w:cantSplit/>
          <w:jc w:val="center"/>
        </w:trPr>
        <w:tc>
          <w:tcPr>
            <w:tcW w:w="2438" w:type="dxa"/>
            <w:tcBorders>
              <w:bottom w:val="single" w:sz="10" w:space="0" w:color="auto"/>
            </w:tcBorders>
            <w:vAlign w:val="center"/>
          </w:tcPr>
          <w:p w14:paraId="7570B608"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数据预处理</w:t>
            </w:r>
          </w:p>
        </w:tc>
        <w:tc>
          <w:tcPr>
            <w:tcW w:w="6633" w:type="dxa"/>
            <w:tcBorders>
              <w:bottom w:val="single" w:sz="10" w:space="0" w:color="auto"/>
            </w:tcBorders>
            <w:vAlign w:val="center"/>
          </w:tcPr>
          <w:p w14:paraId="00044C18"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折内标准化，可选PCA，不做图像增强</w:t>
            </w:r>
          </w:p>
        </w:tc>
      </w:tr>
    </w:tbl>
    <w:p w14:paraId="3C903130" w14:textId="77777777" w:rsidR="00374724" w:rsidRPr="00247696" w:rsidRDefault="007F137D">
      <w:pPr>
        <w:overflowPunct w:val="0"/>
        <w:autoSpaceDE w:val="0"/>
        <w:autoSpaceDN w:val="0"/>
        <w:snapToGrid w:val="0"/>
        <w:rPr>
          <w:rFonts w:ascii="宋体" w:hAnsi="宋体"/>
        </w:rPr>
      </w:pPr>
      <w:r w:rsidRPr="00247696">
        <w:rPr>
          <w:rFonts w:ascii="宋体" w:hAnsi="宋体"/>
        </w:rPr>
        <w:t>该划分是样本级随机划分，不是按书写者分组的跨人员评估。接口提供的标签未在本实验中用于恢复书写者身份，所以不能据此声称模型能够泛化到独立的新书写者群体。保留这一边界有助于区分课堂分类实验与真实字符识别系统所需的鲁棒性验证。</w:t>
      </w:r>
    </w:p>
    <w:p w14:paraId="02BBC16D" w14:textId="77777777" w:rsidR="00374724" w:rsidRPr="00247696" w:rsidRDefault="007F137D">
      <w:pPr>
        <w:pStyle w:val="21"/>
        <w:overflowPunct w:val="0"/>
        <w:autoSpaceDE w:val="0"/>
        <w:autoSpaceDN w:val="0"/>
        <w:snapToGrid w:val="0"/>
        <w:rPr>
          <w:rFonts w:ascii="宋体" w:eastAsia="宋体" w:hAnsi="宋体"/>
        </w:rPr>
      </w:pPr>
      <w:bookmarkStart w:id="14" w:name="_Toc242559114"/>
      <w:r w:rsidRPr="00247696">
        <w:rPr>
          <w:rFonts w:ascii="宋体" w:eastAsia="宋体" w:hAnsi="宋体"/>
        </w:rPr>
        <w:t>4.2 评价指标与运行环境</w:t>
      </w:r>
      <w:bookmarkEnd w:id="14"/>
    </w:p>
    <w:p w14:paraId="77F834E8" w14:textId="77777777" w:rsidR="00374724" w:rsidRPr="00247696" w:rsidRDefault="007F137D">
      <w:pPr>
        <w:overflowPunct w:val="0"/>
        <w:autoSpaceDE w:val="0"/>
        <w:autoSpaceDN w:val="0"/>
        <w:snapToGrid w:val="0"/>
        <w:rPr>
          <w:rFonts w:ascii="宋体" w:hAnsi="宋体"/>
        </w:rPr>
      </w:pPr>
      <w:r w:rsidRPr="00247696">
        <w:rPr>
          <w:rFonts w:ascii="宋体" w:hAnsi="宋体"/>
        </w:rPr>
        <w:t>准确率为正确识别样本数与测试样本数之比。对每个类别分别计算精确率P、召回率R和F1后再求平均，可得到宏平均指标。宏平均召回率对每个类别等权，并不必然等于准确率；在本实验中二者分别约为98.20%和98.22%。对于单标签多分类，按类别样本量加权的召回率才与总体准确率一致。</w:t>
      </w:r>
    </w:p>
    <w:p w14:paraId="50E15388" w14:textId="77777777" w:rsidR="00906622" w:rsidRPr="00906622" w:rsidRDefault="00906622">
      <w:pPr>
        <w:overflowPunct w:val="0"/>
        <w:autoSpaceDE w:val="0"/>
        <w:autoSpaceDN w:val="0"/>
        <w:snapToGrid w:val="0"/>
        <w:spacing w:line="440" w:lineRule="exact"/>
        <w:ind w:firstLine="0"/>
        <w:jc w:val="center"/>
        <w:rPr>
          <w:rFonts w:ascii="宋体" w:hAnsi="宋体"/>
          <w:lang w:eastAsia="zh-CN"/>
        </w:rPr>
      </w:pPr>
      <m:oMathPara>
        <m:oMath>
          <m:r>
            <w:rPr>
              <w:rFonts w:ascii="Cambria Math" w:hAnsi="Cambria Math"/>
            </w:rPr>
            <m:t>Accuracy = Ncorrect</m:t>
          </m:r>
          <m:f>
            <m:fPr>
              <m:ctrlPr>
                <w:rPr>
                  <w:rFonts w:ascii="Cambria Math" w:hAnsi="Cambria Math"/>
                  <w:i/>
                </w:rPr>
              </m:ctrlPr>
            </m:fPr>
            <m:num/>
            <m:den/>
          </m:f>
          <m:r>
            <w:rPr>
              <w:rFonts w:ascii="Cambria Math" w:hAnsi="Cambria Math"/>
            </w:rPr>
            <m:t>Ntest</m:t>
          </m:r>
          <m:r>
            <w:rPr>
              <w:rFonts w:ascii="Cambria Math" w:hAnsi="Cambria Math"/>
            </w:rPr>
            <m:t>，</m:t>
          </m:r>
          <m:r>
            <w:rPr>
              <w:rFonts w:ascii="Cambria Math" w:hAnsi="Cambria Math"/>
            </w:rPr>
            <m:t>F1c = 2PcRc</m:t>
          </m:r>
          <m:f>
            <m:fPr>
              <m:ctrlPr>
                <w:rPr>
                  <w:rFonts w:ascii="Cambria Math" w:hAnsi="Cambria Math"/>
                  <w:i/>
                </w:rPr>
              </m:ctrlPr>
            </m:fPr>
            <m:num/>
            <m:den/>
          </m:f>
          <m:d>
            <m:dPr>
              <m:ctrlPr>
                <w:rPr>
                  <w:rFonts w:ascii="Cambria Math" w:hAnsi="Cambria Math"/>
                  <w:i/>
                </w:rPr>
              </m:ctrlPr>
            </m:dPr>
            <m:e>
              <m:r>
                <w:rPr>
                  <w:rFonts w:ascii="Cambria Math" w:hAnsi="Cambria Math"/>
                </w:rPr>
                <m:t>Pc + Rc</m:t>
              </m:r>
            </m:e>
          </m:d>
          <m:r>
            <w:rPr>
              <w:rFonts w:ascii="Cambria Math" w:hAnsi="Cambria Math"/>
            </w:rPr>
            <m:t>，</m:t>
          </m:r>
        </m:oMath>
      </m:oMathPara>
    </w:p>
    <w:p w14:paraId="08129EF9" w14:textId="2E1E0638" w:rsidR="00374724" w:rsidRPr="00247696" w:rsidRDefault="007F137D">
      <w:pPr>
        <w:overflowPunct w:val="0"/>
        <w:autoSpaceDE w:val="0"/>
        <w:autoSpaceDN w:val="0"/>
        <w:snapToGrid w:val="0"/>
        <w:spacing w:line="440" w:lineRule="exact"/>
        <w:ind w:firstLine="0"/>
        <w:jc w:val="center"/>
        <w:rPr>
          <w:rFonts w:ascii="宋体" w:hAnsi="宋体"/>
        </w:rPr>
      </w:pPr>
      <m:oMathPara>
        <m:oMath>
          <m:r>
            <w:rPr>
              <w:rFonts w:ascii="Cambria Math" w:hAnsi="Cambria Math"/>
            </w:rPr>
            <m:t>Macro-F1 = (1/10)∑c F1c</m:t>
          </m:r>
          <m:r>
            <w:rPr>
              <w:rFonts w:ascii="Cambria Math" w:hAnsi="Cambria Math"/>
            </w:rPr>
            <m:t xml:space="preserve">　　（</m:t>
          </m:r>
          <m:r>
            <w:rPr>
              <w:rFonts w:ascii="Cambria Math" w:hAnsi="Cambria Math"/>
            </w:rPr>
            <m:t>7</m:t>
          </m:r>
          <m:r>
            <w:rPr>
              <w:rFonts w:ascii="Cambria Math" w:hAnsi="Cambria Math"/>
            </w:rPr>
            <m:t>）</m:t>
          </m:r>
        </m:oMath>
      </m:oMathPara>
    </w:p>
    <w:p w14:paraId="4D697638" w14:textId="77777777" w:rsidR="00374724" w:rsidRPr="00247696" w:rsidRDefault="007F137D">
      <w:pPr>
        <w:overflowPunct w:val="0"/>
        <w:autoSpaceDE w:val="0"/>
        <w:autoSpaceDN w:val="0"/>
        <w:snapToGrid w:val="0"/>
        <w:rPr>
          <w:rFonts w:ascii="宋体" w:hAnsi="宋体"/>
        </w:rPr>
      </w:pPr>
      <w:r w:rsidRPr="00247696">
        <w:rPr>
          <w:rFonts w:ascii="宋体" w:hAnsi="宋体"/>
        </w:rPr>
        <w:t>运行环境记录为Python 3.12.14、scikit-learn 1.9.1和NumPy 2.3.5，模型在CPU上运行。实验文件保存了参数、各类预测和混淆矩阵，新增消融保存每折得分。运行耗时只作为当前环境的辅助观察，不作为硬件无关性能结论；原脚本计时覆盖最终模型拟合与测试推理，不包含网格搜索的全部开销。</w:t>
      </w:r>
    </w:p>
    <w:p w14:paraId="61E93249" w14:textId="77777777" w:rsidR="00374724" w:rsidRPr="00247696" w:rsidRDefault="007F137D">
      <w:pPr>
        <w:pStyle w:val="21"/>
        <w:overflowPunct w:val="0"/>
        <w:autoSpaceDE w:val="0"/>
        <w:autoSpaceDN w:val="0"/>
        <w:snapToGrid w:val="0"/>
        <w:rPr>
          <w:rFonts w:ascii="宋体" w:eastAsia="宋体" w:hAnsi="宋体"/>
        </w:rPr>
      </w:pPr>
      <w:bookmarkStart w:id="15" w:name="_Toc242559115"/>
      <w:r w:rsidRPr="00247696">
        <w:rPr>
          <w:rFonts w:ascii="宋体" w:eastAsia="宋体" w:hAnsi="宋体"/>
        </w:rPr>
        <w:t>4.3 主比较结果</w:t>
      </w:r>
      <w:bookmarkEnd w:id="15"/>
    </w:p>
    <w:p w14:paraId="4A3B0298" w14:textId="77777777" w:rsidR="00374724" w:rsidRPr="00247696" w:rsidRDefault="007F137D">
      <w:pPr>
        <w:overflowPunct w:val="0"/>
        <w:autoSpaceDE w:val="0"/>
        <w:autoSpaceDN w:val="0"/>
        <w:snapToGrid w:val="0"/>
        <w:rPr>
          <w:rFonts w:ascii="宋体" w:hAnsi="宋体"/>
        </w:rPr>
      </w:pPr>
      <w:r w:rsidRPr="00247696">
        <w:rPr>
          <w:rFonts w:ascii="宋体" w:hAnsi="宋体"/>
        </w:rPr>
        <w:t>M1选出的参数为C=10、gamma=0.01；M2同样选择这两个参数，PCA方差阈值为0.99。M2在完整训练集上保留54个主成分，累计解释方差约为99.14%，相对于64维输入减少10维，即15.63%。M3保留40维，C=1且gamma使用scale。三种配置的测试指标见表2。</w:t>
      </w:r>
    </w:p>
    <w:p w14:paraId="54DF6685" w14:textId="77777777" w:rsidR="00374724" w:rsidRPr="00247696" w:rsidRDefault="007F137D">
      <w:pPr>
        <w:pStyle w:val="af7"/>
        <w:keepNext/>
        <w:overflowPunct w:val="0"/>
        <w:autoSpaceDE w:val="0"/>
        <w:autoSpaceDN w:val="0"/>
        <w:snapToGrid w:val="0"/>
        <w:spacing w:after="80" w:line="300" w:lineRule="exact"/>
        <w:jc w:val="center"/>
        <w:rPr>
          <w:rFonts w:ascii="宋体" w:hAnsi="宋体"/>
        </w:rPr>
      </w:pPr>
      <w:r w:rsidRPr="00247696">
        <w:rPr>
          <w:rFonts w:ascii="宋体" w:hAnsi="宋体"/>
        </w:rPr>
        <w:lastRenderedPageBreak/>
        <w:t>表2  固定测试集上的主比较结果</w:t>
      </w:r>
    </w:p>
    <w:tbl>
      <w:tblPr>
        <w:tblW w:w="0" w:type="auto"/>
        <w:jc w:val="center"/>
        <w:tblLayout w:type="fixed"/>
        <w:tblLook w:val="04A0" w:firstRow="1" w:lastRow="0" w:firstColumn="1" w:lastColumn="0" w:noHBand="0" w:noVBand="1"/>
      </w:tblPr>
      <w:tblGrid>
        <w:gridCol w:w="2608"/>
        <w:gridCol w:w="907"/>
        <w:gridCol w:w="1531"/>
        <w:gridCol w:w="1304"/>
        <w:gridCol w:w="1304"/>
        <w:gridCol w:w="1417"/>
      </w:tblGrid>
      <w:tr w:rsidR="00374724" w:rsidRPr="00247696" w14:paraId="46AB9C61" w14:textId="77777777">
        <w:trPr>
          <w:cantSplit/>
          <w:tblHeader/>
          <w:jc w:val="center"/>
        </w:trPr>
        <w:tc>
          <w:tcPr>
            <w:tcW w:w="2608" w:type="dxa"/>
            <w:tcBorders>
              <w:top w:val="single" w:sz="10" w:space="0" w:color="auto"/>
              <w:bottom w:val="single" w:sz="5" w:space="0" w:color="auto"/>
            </w:tcBorders>
            <w:vAlign w:val="center"/>
          </w:tcPr>
          <w:p w14:paraId="196CEC56"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模型</w:t>
            </w:r>
          </w:p>
        </w:tc>
        <w:tc>
          <w:tcPr>
            <w:tcW w:w="907" w:type="dxa"/>
            <w:tcBorders>
              <w:top w:val="single" w:sz="10" w:space="0" w:color="auto"/>
              <w:bottom w:val="single" w:sz="5" w:space="0" w:color="auto"/>
            </w:tcBorders>
            <w:vAlign w:val="center"/>
          </w:tcPr>
          <w:p w14:paraId="02B367ED"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维数</w:t>
            </w:r>
          </w:p>
        </w:tc>
        <w:tc>
          <w:tcPr>
            <w:tcW w:w="1531" w:type="dxa"/>
            <w:tcBorders>
              <w:top w:val="single" w:sz="10" w:space="0" w:color="auto"/>
              <w:bottom w:val="single" w:sz="5" w:space="0" w:color="auto"/>
            </w:tcBorders>
            <w:vAlign w:val="center"/>
          </w:tcPr>
          <w:p w14:paraId="37A6A9EB"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准确率/%</w:t>
            </w:r>
          </w:p>
        </w:tc>
        <w:tc>
          <w:tcPr>
            <w:tcW w:w="1304" w:type="dxa"/>
            <w:tcBorders>
              <w:top w:val="single" w:sz="10" w:space="0" w:color="auto"/>
              <w:bottom w:val="single" w:sz="5" w:space="0" w:color="auto"/>
            </w:tcBorders>
            <w:vAlign w:val="center"/>
          </w:tcPr>
          <w:p w14:paraId="0FD16668"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宏P/%</w:t>
            </w:r>
          </w:p>
        </w:tc>
        <w:tc>
          <w:tcPr>
            <w:tcW w:w="1304" w:type="dxa"/>
            <w:tcBorders>
              <w:top w:val="single" w:sz="10" w:space="0" w:color="auto"/>
              <w:bottom w:val="single" w:sz="5" w:space="0" w:color="auto"/>
            </w:tcBorders>
            <w:vAlign w:val="center"/>
          </w:tcPr>
          <w:p w14:paraId="6F525994"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宏R/%</w:t>
            </w:r>
          </w:p>
        </w:tc>
        <w:tc>
          <w:tcPr>
            <w:tcW w:w="1417" w:type="dxa"/>
            <w:tcBorders>
              <w:top w:val="single" w:sz="10" w:space="0" w:color="auto"/>
              <w:bottom w:val="single" w:sz="5" w:space="0" w:color="auto"/>
            </w:tcBorders>
            <w:vAlign w:val="center"/>
          </w:tcPr>
          <w:p w14:paraId="45436CA4"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宏F1/%</w:t>
            </w:r>
          </w:p>
        </w:tc>
      </w:tr>
      <w:tr w:rsidR="00374724" w:rsidRPr="00247696" w14:paraId="73258FA3" w14:textId="77777777">
        <w:trPr>
          <w:cantSplit/>
          <w:jc w:val="center"/>
        </w:trPr>
        <w:tc>
          <w:tcPr>
            <w:tcW w:w="2608" w:type="dxa"/>
            <w:vAlign w:val="center"/>
          </w:tcPr>
          <w:p w14:paraId="409B160C"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M1 标准化SVM</w:t>
            </w:r>
          </w:p>
        </w:tc>
        <w:tc>
          <w:tcPr>
            <w:tcW w:w="907" w:type="dxa"/>
            <w:vAlign w:val="center"/>
          </w:tcPr>
          <w:p w14:paraId="18A997EA"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64</w:t>
            </w:r>
          </w:p>
        </w:tc>
        <w:tc>
          <w:tcPr>
            <w:tcW w:w="1531" w:type="dxa"/>
            <w:vAlign w:val="center"/>
          </w:tcPr>
          <w:p w14:paraId="3D359F69"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98.22</w:t>
            </w:r>
          </w:p>
        </w:tc>
        <w:tc>
          <w:tcPr>
            <w:tcW w:w="1304" w:type="dxa"/>
            <w:vAlign w:val="center"/>
          </w:tcPr>
          <w:p w14:paraId="4D3149D9"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98.27</w:t>
            </w:r>
          </w:p>
        </w:tc>
        <w:tc>
          <w:tcPr>
            <w:tcW w:w="1304" w:type="dxa"/>
            <w:vAlign w:val="center"/>
          </w:tcPr>
          <w:p w14:paraId="76EAE757"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98.20</w:t>
            </w:r>
          </w:p>
        </w:tc>
        <w:tc>
          <w:tcPr>
            <w:tcW w:w="1417" w:type="dxa"/>
            <w:vAlign w:val="center"/>
          </w:tcPr>
          <w:p w14:paraId="2CB9E8D2"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98.21</w:t>
            </w:r>
          </w:p>
        </w:tc>
      </w:tr>
      <w:tr w:rsidR="00374724" w:rsidRPr="00247696" w14:paraId="38D703D0" w14:textId="77777777">
        <w:trPr>
          <w:cantSplit/>
          <w:jc w:val="center"/>
        </w:trPr>
        <w:tc>
          <w:tcPr>
            <w:tcW w:w="2608" w:type="dxa"/>
            <w:vAlign w:val="center"/>
          </w:tcPr>
          <w:p w14:paraId="030447C5"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M2 PCA调参SVM</w:t>
            </w:r>
          </w:p>
        </w:tc>
        <w:tc>
          <w:tcPr>
            <w:tcW w:w="907" w:type="dxa"/>
            <w:vAlign w:val="center"/>
          </w:tcPr>
          <w:p w14:paraId="5642053D"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54</w:t>
            </w:r>
          </w:p>
        </w:tc>
        <w:tc>
          <w:tcPr>
            <w:tcW w:w="1531" w:type="dxa"/>
            <w:vAlign w:val="center"/>
          </w:tcPr>
          <w:p w14:paraId="3DCFE99A"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98.22</w:t>
            </w:r>
          </w:p>
        </w:tc>
        <w:tc>
          <w:tcPr>
            <w:tcW w:w="1304" w:type="dxa"/>
            <w:vAlign w:val="center"/>
          </w:tcPr>
          <w:p w14:paraId="6C418DC3"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98.27</w:t>
            </w:r>
          </w:p>
        </w:tc>
        <w:tc>
          <w:tcPr>
            <w:tcW w:w="1304" w:type="dxa"/>
            <w:vAlign w:val="center"/>
          </w:tcPr>
          <w:p w14:paraId="29E8635C"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98.20</w:t>
            </w:r>
          </w:p>
        </w:tc>
        <w:tc>
          <w:tcPr>
            <w:tcW w:w="1417" w:type="dxa"/>
            <w:vAlign w:val="center"/>
          </w:tcPr>
          <w:p w14:paraId="53387B17"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98.21</w:t>
            </w:r>
          </w:p>
        </w:tc>
      </w:tr>
      <w:tr w:rsidR="00374724" w:rsidRPr="00247696" w14:paraId="2E21E4AA" w14:textId="77777777">
        <w:trPr>
          <w:cantSplit/>
          <w:jc w:val="center"/>
        </w:trPr>
        <w:tc>
          <w:tcPr>
            <w:tcW w:w="2608" w:type="dxa"/>
            <w:tcBorders>
              <w:bottom w:val="single" w:sz="10" w:space="0" w:color="auto"/>
            </w:tcBorders>
            <w:vAlign w:val="center"/>
          </w:tcPr>
          <w:p w14:paraId="2BBA0FF7"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M3 PCA默认SVM</w:t>
            </w:r>
          </w:p>
        </w:tc>
        <w:tc>
          <w:tcPr>
            <w:tcW w:w="907" w:type="dxa"/>
            <w:tcBorders>
              <w:bottom w:val="single" w:sz="10" w:space="0" w:color="auto"/>
            </w:tcBorders>
            <w:vAlign w:val="center"/>
          </w:tcPr>
          <w:p w14:paraId="1C03428F"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40</w:t>
            </w:r>
          </w:p>
        </w:tc>
        <w:tc>
          <w:tcPr>
            <w:tcW w:w="1531" w:type="dxa"/>
            <w:tcBorders>
              <w:bottom w:val="single" w:sz="10" w:space="0" w:color="auto"/>
            </w:tcBorders>
            <w:vAlign w:val="center"/>
          </w:tcPr>
          <w:p w14:paraId="441D3AE5"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98.22</w:t>
            </w:r>
          </w:p>
        </w:tc>
        <w:tc>
          <w:tcPr>
            <w:tcW w:w="1304" w:type="dxa"/>
            <w:tcBorders>
              <w:bottom w:val="single" w:sz="10" w:space="0" w:color="auto"/>
            </w:tcBorders>
            <w:vAlign w:val="center"/>
          </w:tcPr>
          <w:p w14:paraId="30693FF4"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98.27</w:t>
            </w:r>
          </w:p>
        </w:tc>
        <w:tc>
          <w:tcPr>
            <w:tcW w:w="1304" w:type="dxa"/>
            <w:tcBorders>
              <w:bottom w:val="single" w:sz="10" w:space="0" w:color="auto"/>
            </w:tcBorders>
            <w:vAlign w:val="center"/>
          </w:tcPr>
          <w:p w14:paraId="50C74889"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98.20</w:t>
            </w:r>
          </w:p>
        </w:tc>
        <w:tc>
          <w:tcPr>
            <w:tcW w:w="1417" w:type="dxa"/>
            <w:tcBorders>
              <w:bottom w:val="single" w:sz="10" w:space="0" w:color="auto"/>
            </w:tcBorders>
            <w:vAlign w:val="center"/>
          </w:tcPr>
          <w:p w14:paraId="083681E5"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98.21</w:t>
            </w:r>
          </w:p>
        </w:tc>
      </w:tr>
    </w:tbl>
    <w:p w14:paraId="654E299E" w14:textId="77777777" w:rsidR="00374724" w:rsidRPr="00247696" w:rsidRDefault="007F137D">
      <w:pPr>
        <w:overflowPunct w:val="0"/>
        <w:autoSpaceDE w:val="0"/>
        <w:autoSpaceDN w:val="0"/>
        <w:snapToGrid w:val="0"/>
        <w:rPr>
          <w:rFonts w:ascii="宋体" w:hAnsi="宋体"/>
        </w:rPr>
      </w:pPr>
      <w:r w:rsidRPr="00247696">
        <w:rPr>
          <w:rFonts w:ascii="宋体" w:hAnsi="宋体"/>
        </w:rPr>
        <w:t>三种配置均正确识别442个测试样本、错误8个，且逐样本核对发现预测向量完全一致，而非只有四舍五入后的指标相同。独立重新拟合已复核这一结果。因此不能把三行相同结果看作三次独立重复试验，也不能由此声称三个模型在其他样本上必然一致。它只说明在这450个固定测试样本上，三个配置最终输出了相同类别。</w:t>
      </w:r>
    </w:p>
    <w:p w14:paraId="029F86C4" w14:textId="6F4E634B" w:rsidR="00374724" w:rsidRPr="00247696" w:rsidRDefault="007F137D">
      <w:pPr>
        <w:overflowPunct w:val="0"/>
        <w:autoSpaceDE w:val="0"/>
        <w:autoSpaceDN w:val="0"/>
        <w:snapToGrid w:val="0"/>
        <w:rPr>
          <w:rFonts w:ascii="宋体" w:hAnsi="宋体"/>
        </w:rPr>
      </w:pPr>
      <w:r w:rsidRPr="00247696">
        <w:rPr>
          <w:rFonts w:ascii="宋体" w:hAnsi="宋体"/>
        </w:rPr>
        <w:t>M1与M2的训练集最佳交叉验证准确率分别为98.44%和98.37%，差异约为0.07个百分点。测试集中单个样本约占0.22个百分点，因而小样本留出集的指标分辨率有限。</w:t>
      </w:r>
    </w:p>
    <w:p w14:paraId="3D01C40D" w14:textId="77777777" w:rsidR="00374724" w:rsidRPr="00247696" w:rsidRDefault="007F137D">
      <w:pPr>
        <w:pStyle w:val="21"/>
        <w:overflowPunct w:val="0"/>
        <w:autoSpaceDE w:val="0"/>
        <w:autoSpaceDN w:val="0"/>
        <w:snapToGrid w:val="0"/>
        <w:rPr>
          <w:rFonts w:ascii="宋体" w:eastAsia="宋体" w:hAnsi="宋体"/>
        </w:rPr>
      </w:pPr>
      <w:bookmarkStart w:id="16" w:name="_Toc242559116"/>
      <w:r w:rsidRPr="00247696">
        <w:rPr>
          <w:rFonts w:ascii="宋体" w:eastAsia="宋体" w:hAnsi="宋体"/>
        </w:rPr>
        <w:t>4.4 固定参数的降维消融</w:t>
      </w:r>
      <w:bookmarkEnd w:id="16"/>
    </w:p>
    <w:p w14:paraId="07CAFF12" w14:textId="77777777" w:rsidR="00374724" w:rsidRPr="00247696" w:rsidRDefault="007F137D">
      <w:pPr>
        <w:overflowPunct w:val="0"/>
        <w:autoSpaceDE w:val="0"/>
        <w:autoSpaceDN w:val="0"/>
        <w:snapToGrid w:val="0"/>
        <w:rPr>
          <w:rFonts w:ascii="宋体" w:hAnsi="宋体"/>
        </w:rPr>
      </w:pPr>
      <w:r w:rsidRPr="00247696">
        <w:rPr>
          <w:rFonts w:ascii="宋体" w:hAnsi="宋体"/>
        </w:rPr>
        <w:t>为分析表示压缩本身，将C固定为10、gamma固定为0.01，并在相同训练折上依次比较无PCA及四种方差阈值。表3报告五折准确率的均值与标准差；标准差使用五个折得分的总体标准差，描述折间波动，不是置信区间。维数来自在完整训练集上的拟合，交叉验证折中的维数可能不同。</w:t>
      </w:r>
    </w:p>
    <w:p w14:paraId="11A7FF94" w14:textId="77777777" w:rsidR="00374724" w:rsidRPr="00247696" w:rsidRDefault="007F137D">
      <w:pPr>
        <w:pStyle w:val="af7"/>
        <w:keepNext/>
        <w:overflowPunct w:val="0"/>
        <w:autoSpaceDE w:val="0"/>
        <w:autoSpaceDN w:val="0"/>
        <w:snapToGrid w:val="0"/>
        <w:spacing w:after="80" w:line="300" w:lineRule="exact"/>
        <w:jc w:val="center"/>
        <w:rPr>
          <w:rFonts w:ascii="宋体" w:hAnsi="宋体"/>
        </w:rPr>
      </w:pPr>
      <w:r w:rsidRPr="00247696">
        <w:rPr>
          <w:rFonts w:ascii="宋体" w:hAnsi="宋体"/>
        </w:rPr>
        <w:t>表3  固定C与gamma的PCA消融结果</w:t>
      </w:r>
    </w:p>
    <w:tbl>
      <w:tblPr>
        <w:tblW w:w="0" w:type="auto"/>
        <w:jc w:val="center"/>
        <w:tblLayout w:type="fixed"/>
        <w:tblLook w:val="04A0" w:firstRow="1" w:lastRow="0" w:firstColumn="1" w:lastColumn="0" w:noHBand="0" w:noVBand="1"/>
      </w:tblPr>
      <w:tblGrid>
        <w:gridCol w:w="1814"/>
        <w:gridCol w:w="2154"/>
        <w:gridCol w:w="2154"/>
        <w:gridCol w:w="2948"/>
      </w:tblGrid>
      <w:tr w:rsidR="00374724" w:rsidRPr="00247696" w14:paraId="0D34B98A" w14:textId="77777777">
        <w:trPr>
          <w:cantSplit/>
          <w:tblHeader/>
          <w:jc w:val="center"/>
        </w:trPr>
        <w:tc>
          <w:tcPr>
            <w:tcW w:w="1814" w:type="dxa"/>
            <w:tcBorders>
              <w:top w:val="single" w:sz="10" w:space="0" w:color="auto"/>
              <w:bottom w:val="single" w:sz="5" w:space="0" w:color="auto"/>
            </w:tcBorders>
            <w:vAlign w:val="center"/>
          </w:tcPr>
          <w:p w14:paraId="7504806B"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PCA阈值</w:t>
            </w:r>
          </w:p>
        </w:tc>
        <w:tc>
          <w:tcPr>
            <w:tcW w:w="2154" w:type="dxa"/>
            <w:tcBorders>
              <w:top w:val="single" w:sz="10" w:space="0" w:color="auto"/>
              <w:bottom w:val="single" w:sz="5" w:space="0" w:color="auto"/>
            </w:tcBorders>
            <w:vAlign w:val="center"/>
          </w:tcPr>
          <w:p w14:paraId="48BF76CA"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全训练集维数</w:t>
            </w:r>
          </w:p>
        </w:tc>
        <w:tc>
          <w:tcPr>
            <w:tcW w:w="2154" w:type="dxa"/>
            <w:tcBorders>
              <w:top w:val="single" w:sz="10" w:space="0" w:color="auto"/>
              <w:bottom w:val="single" w:sz="5" w:space="0" w:color="auto"/>
            </w:tcBorders>
            <w:vAlign w:val="center"/>
          </w:tcPr>
          <w:p w14:paraId="743D0F34"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维度减少/%</w:t>
            </w:r>
          </w:p>
        </w:tc>
        <w:tc>
          <w:tcPr>
            <w:tcW w:w="2948" w:type="dxa"/>
            <w:tcBorders>
              <w:top w:val="single" w:sz="10" w:space="0" w:color="auto"/>
              <w:bottom w:val="single" w:sz="5" w:space="0" w:color="auto"/>
            </w:tcBorders>
            <w:vAlign w:val="center"/>
          </w:tcPr>
          <w:p w14:paraId="657D2657"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b/>
                <w:sz w:val="21"/>
              </w:rPr>
              <w:t>五折准确率/%</w:t>
            </w:r>
          </w:p>
        </w:tc>
      </w:tr>
      <w:tr w:rsidR="00374724" w:rsidRPr="00247696" w14:paraId="62142D70" w14:textId="77777777">
        <w:trPr>
          <w:cantSplit/>
          <w:jc w:val="center"/>
        </w:trPr>
        <w:tc>
          <w:tcPr>
            <w:tcW w:w="1814" w:type="dxa"/>
            <w:vAlign w:val="center"/>
          </w:tcPr>
          <w:p w14:paraId="3ABEA61F"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无PCA</w:t>
            </w:r>
          </w:p>
        </w:tc>
        <w:tc>
          <w:tcPr>
            <w:tcW w:w="2154" w:type="dxa"/>
            <w:vAlign w:val="center"/>
          </w:tcPr>
          <w:p w14:paraId="3EF7B593"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64</w:t>
            </w:r>
          </w:p>
        </w:tc>
        <w:tc>
          <w:tcPr>
            <w:tcW w:w="2154" w:type="dxa"/>
            <w:vAlign w:val="center"/>
          </w:tcPr>
          <w:p w14:paraId="3FFD98BA"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0.00</w:t>
            </w:r>
          </w:p>
        </w:tc>
        <w:tc>
          <w:tcPr>
            <w:tcW w:w="2948" w:type="dxa"/>
            <w:vAlign w:val="center"/>
          </w:tcPr>
          <w:p w14:paraId="7ED8E69E"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98.44 ± 0.86</w:t>
            </w:r>
          </w:p>
        </w:tc>
      </w:tr>
      <w:tr w:rsidR="00374724" w:rsidRPr="00247696" w14:paraId="3C4A83FF" w14:textId="77777777">
        <w:trPr>
          <w:cantSplit/>
          <w:jc w:val="center"/>
        </w:trPr>
        <w:tc>
          <w:tcPr>
            <w:tcW w:w="1814" w:type="dxa"/>
            <w:vAlign w:val="center"/>
          </w:tcPr>
          <w:p w14:paraId="3B200D36"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80%</w:t>
            </w:r>
          </w:p>
        </w:tc>
        <w:tc>
          <w:tcPr>
            <w:tcW w:w="2154" w:type="dxa"/>
            <w:vAlign w:val="center"/>
          </w:tcPr>
          <w:p w14:paraId="57A79D31"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21</w:t>
            </w:r>
          </w:p>
        </w:tc>
        <w:tc>
          <w:tcPr>
            <w:tcW w:w="2154" w:type="dxa"/>
            <w:vAlign w:val="center"/>
          </w:tcPr>
          <w:p w14:paraId="54465311"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67.19</w:t>
            </w:r>
          </w:p>
        </w:tc>
        <w:tc>
          <w:tcPr>
            <w:tcW w:w="2948" w:type="dxa"/>
            <w:vAlign w:val="center"/>
          </w:tcPr>
          <w:p w14:paraId="28ED8D17"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97.40 ± 0.62</w:t>
            </w:r>
          </w:p>
        </w:tc>
      </w:tr>
      <w:tr w:rsidR="00374724" w:rsidRPr="00247696" w14:paraId="1BC1CDCB" w14:textId="77777777">
        <w:trPr>
          <w:cantSplit/>
          <w:jc w:val="center"/>
        </w:trPr>
        <w:tc>
          <w:tcPr>
            <w:tcW w:w="1814" w:type="dxa"/>
            <w:vAlign w:val="center"/>
          </w:tcPr>
          <w:p w14:paraId="11B6A2E9"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90%</w:t>
            </w:r>
          </w:p>
        </w:tc>
        <w:tc>
          <w:tcPr>
            <w:tcW w:w="2154" w:type="dxa"/>
            <w:vAlign w:val="center"/>
          </w:tcPr>
          <w:p w14:paraId="26946CE2"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31</w:t>
            </w:r>
          </w:p>
        </w:tc>
        <w:tc>
          <w:tcPr>
            <w:tcW w:w="2154" w:type="dxa"/>
            <w:vAlign w:val="center"/>
          </w:tcPr>
          <w:p w14:paraId="2721E256"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51.56</w:t>
            </w:r>
          </w:p>
        </w:tc>
        <w:tc>
          <w:tcPr>
            <w:tcW w:w="2948" w:type="dxa"/>
            <w:vAlign w:val="center"/>
          </w:tcPr>
          <w:p w14:paraId="59F4B49D"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97.85 ± 0.72</w:t>
            </w:r>
          </w:p>
        </w:tc>
      </w:tr>
      <w:tr w:rsidR="00374724" w:rsidRPr="00247696" w14:paraId="341CD23F" w14:textId="77777777">
        <w:trPr>
          <w:cantSplit/>
          <w:jc w:val="center"/>
        </w:trPr>
        <w:tc>
          <w:tcPr>
            <w:tcW w:w="1814" w:type="dxa"/>
            <w:vAlign w:val="center"/>
          </w:tcPr>
          <w:p w14:paraId="7500A7A7"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95%</w:t>
            </w:r>
          </w:p>
        </w:tc>
        <w:tc>
          <w:tcPr>
            <w:tcW w:w="2154" w:type="dxa"/>
            <w:vAlign w:val="center"/>
          </w:tcPr>
          <w:p w14:paraId="352CB9BD"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40</w:t>
            </w:r>
          </w:p>
        </w:tc>
        <w:tc>
          <w:tcPr>
            <w:tcW w:w="2154" w:type="dxa"/>
            <w:vAlign w:val="center"/>
          </w:tcPr>
          <w:p w14:paraId="0FDE5C1C"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37.50</w:t>
            </w:r>
          </w:p>
        </w:tc>
        <w:tc>
          <w:tcPr>
            <w:tcW w:w="2948" w:type="dxa"/>
            <w:vAlign w:val="center"/>
          </w:tcPr>
          <w:p w14:paraId="6080467B" w14:textId="77777777" w:rsidR="00374724" w:rsidRPr="00247696" w:rsidRDefault="007F137D">
            <w:pPr>
              <w:keepNext/>
              <w:spacing w:before="40" w:after="40" w:line="320" w:lineRule="exact"/>
              <w:ind w:firstLine="0"/>
              <w:jc w:val="center"/>
              <w:rPr>
                <w:rFonts w:ascii="宋体" w:hAnsi="宋体"/>
              </w:rPr>
            </w:pPr>
            <w:r w:rsidRPr="00247696">
              <w:rPr>
                <w:rFonts w:ascii="宋体" w:hAnsi="宋体"/>
                <w:sz w:val="21"/>
              </w:rPr>
              <w:t>98.07 ± 0.43</w:t>
            </w:r>
          </w:p>
        </w:tc>
      </w:tr>
      <w:tr w:rsidR="00374724" w:rsidRPr="00247696" w14:paraId="6ADC0A71" w14:textId="77777777">
        <w:trPr>
          <w:cantSplit/>
          <w:jc w:val="center"/>
        </w:trPr>
        <w:tc>
          <w:tcPr>
            <w:tcW w:w="1814" w:type="dxa"/>
            <w:tcBorders>
              <w:bottom w:val="single" w:sz="10" w:space="0" w:color="auto"/>
            </w:tcBorders>
            <w:vAlign w:val="center"/>
          </w:tcPr>
          <w:p w14:paraId="50BA9480"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99%</w:t>
            </w:r>
          </w:p>
        </w:tc>
        <w:tc>
          <w:tcPr>
            <w:tcW w:w="2154" w:type="dxa"/>
            <w:tcBorders>
              <w:bottom w:val="single" w:sz="10" w:space="0" w:color="auto"/>
            </w:tcBorders>
            <w:vAlign w:val="center"/>
          </w:tcPr>
          <w:p w14:paraId="20DFD5A2"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54</w:t>
            </w:r>
          </w:p>
        </w:tc>
        <w:tc>
          <w:tcPr>
            <w:tcW w:w="2154" w:type="dxa"/>
            <w:tcBorders>
              <w:bottom w:val="single" w:sz="10" w:space="0" w:color="auto"/>
            </w:tcBorders>
            <w:vAlign w:val="center"/>
          </w:tcPr>
          <w:p w14:paraId="4613673E"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15.62</w:t>
            </w:r>
          </w:p>
        </w:tc>
        <w:tc>
          <w:tcPr>
            <w:tcW w:w="2948" w:type="dxa"/>
            <w:tcBorders>
              <w:bottom w:val="single" w:sz="10" w:space="0" w:color="auto"/>
            </w:tcBorders>
            <w:vAlign w:val="center"/>
          </w:tcPr>
          <w:p w14:paraId="716C829F" w14:textId="77777777" w:rsidR="00374724" w:rsidRPr="00247696" w:rsidRDefault="007F137D">
            <w:pPr>
              <w:spacing w:before="40" w:after="40" w:line="320" w:lineRule="exact"/>
              <w:ind w:firstLine="0"/>
              <w:jc w:val="center"/>
              <w:rPr>
                <w:rFonts w:ascii="宋体" w:hAnsi="宋体"/>
              </w:rPr>
            </w:pPr>
            <w:r w:rsidRPr="00247696">
              <w:rPr>
                <w:rFonts w:ascii="宋体" w:hAnsi="宋体"/>
                <w:sz w:val="21"/>
              </w:rPr>
              <w:t>98.37 ± 0.90</w:t>
            </w:r>
          </w:p>
        </w:tc>
      </w:tr>
    </w:tbl>
    <w:p w14:paraId="1689747C" w14:textId="77777777" w:rsidR="00374724" w:rsidRPr="00247696" w:rsidRDefault="007F137D">
      <w:pPr>
        <w:overflowPunct w:val="0"/>
        <w:autoSpaceDE w:val="0"/>
        <w:autoSpaceDN w:val="0"/>
        <w:snapToGrid w:val="0"/>
        <w:rPr>
          <w:rFonts w:ascii="宋体" w:hAnsi="宋体"/>
        </w:rPr>
      </w:pPr>
      <w:r w:rsidRPr="00247696">
        <w:rPr>
          <w:rFonts w:ascii="宋体" w:hAnsi="宋体"/>
        </w:rPr>
        <w:t>在本次固定参数条件下，保留阈值从0.80增加到0.99，验证准确率从97.40%提高至98.37%，但仍未超过无PCA的98.44%。80%阈值仅保留21维，特征压缩幅度为67.19%，同时较无PCA低约1.04个百分点。95%阈值保留40维，减少37.50%的输入维数，验证准确率为98.07%。这些差异表明，压缩越强并不一定越适合识别任务。</w:t>
      </w:r>
    </w:p>
    <w:p w14:paraId="32466E06" w14:textId="77777777" w:rsidR="00374724" w:rsidRPr="00247696" w:rsidRDefault="007F137D">
      <w:pPr>
        <w:keepNext/>
        <w:overflowPunct w:val="0"/>
        <w:autoSpaceDE w:val="0"/>
        <w:autoSpaceDN w:val="0"/>
        <w:snapToGrid w:val="0"/>
        <w:spacing w:line="240" w:lineRule="auto"/>
        <w:ind w:firstLine="0"/>
        <w:jc w:val="center"/>
        <w:rPr>
          <w:rFonts w:ascii="宋体" w:hAnsi="宋体"/>
        </w:rPr>
      </w:pPr>
      <w:r w:rsidRPr="00247696">
        <w:rPr>
          <w:rFonts w:ascii="宋体" w:hAnsi="宋体"/>
          <w:noProof/>
        </w:rPr>
        <w:lastRenderedPageBreak/>
        <w:drawing>
          <wp:inline distT="0" distB="0" distL="0" distR="0" wp14:anchorId="182CF78F" wp14:editId="1021E9EA">
            <wp:extent cx="5040000" cy="19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pic:cNvPicPr/>
                  </pic:nvPicPr>
                  <pic:blipFill>
                    <a:blip r:embed="rId8"/>
                    <a:stretch>
                      <a:fillRect/>
                    </a:stretch>
                  </pic:blipFill>
                  <pic:spPr>
                    <a:xfrm>
                      <a:off x="0" y="0"/>
                      <a:ext cx="5040000" cy="1920000"/>
                    </a:xfrm>
                    <a:prstGeom prst="rect">
                      <a:avLst/>
                    </a:prstGeom>
                  </pic:spPr>
                </pic:pic>
              </a:graphicData>
            </a:graphic>
          </wp:inline>
        </w:drawing>
      </w:r>
    </w:p>
    <w:p w14:paraId="52F79FC4" w14:textId="77777777" w:rsidR="00374724" w:rsidRPr="00247696" w:rsidRDefault="007F137D">
      <w:pPr>
        <w:pStyle w:val="af7"/>
        <w:overflowPunct w:val="0"/>
        <w:autoSpaceDE w:val="0"/>
        <w:autoSpaceDN w:val="0"/>
        <w:snapToGrid w:val="0"/>
        <w:spacing w:after="80" w:line="300" w:lineRule="exact"/>
        <w:jc w:val="center"/>
        <w:rPr>
          <w:rFonts w:ascii="宋体" w:hAnsi="宋体"/>
        </w:rPr>
      </w:pPr>
      <w:r w:rsidRPr="00247696">
        <w:rPr>
          <w:rFonts w:ascii="宋体" w:hAnsi="宋体"/>
        </w:rPr>
        <w:t>图2  固定参数下的交叉验证结果与折间标准差</w:t>
      </w:r>
    </w:p>
    <w:p w14:paraId="00B8F5E7" w14:textId="77777777" w:rsidR="00374724" w:rsidRPr="00247696" w:rsidRDefault="007F137D">
      <w:pPr>
        <w:overflowPunct w:val="0"/>
        <w:autoSpaceDE w:val="0"/>
        <w:autoSpaceDN w:val="0"/>
        <w:snapToGrid w:val="0"/>
        <w:rPr>
          <w:rFonts w:ascii="宋体" w:hAnsi="宋体"/>
        </w:rPr>
      </w:pPr>
      <w:r w:rsidRPr="00247696">
        <w:rPr>
          <w:rFonts w:ascii="宋体" w:hAnsi="宋体"/>
        </w:rPr>
        <w:t>该趋势只对给定的C和gamma成立。重新调节核参数可能改变不同阈值之间的排序，因此不能把表3作为所有SVM配置的最优性能曲线。其价值在于控制分类器参数后，直接观察表示改变的结果，补足主比较中联合调参无法单独归因的部分。本文不以新增分析挑选更有利的测试成绩，而是完整保留原主比较。</w:t>
      </w:r>
    </w:p>
    <w:p w14:paraId="52BE4E46" w14:textId="77777777" w:rsidR="00374724" w:rsidRPr="00247696" w:rsidRDefault="007F137D">
      <w:pPr>
        <w:pStyle w:val="21"/>
        <w:overflowPunct w:val="0"/>
        <w:autoSpaceDE w:val="0"/>
        <w:autoSpaceDN w:val="0"/>
        <w:snapToGrid w:val="0"/>
        <w:rPr>
          <w:rFonts w:ascii="宋体" w:eastAsia="宋体" w:hAnsi="宋体"/>
        </w:rPr>
      </w:pPr>
      <w:bookmarkStart w:id="17" w:name="_Toc242559117"/>
      <w:r w:rsidRPr="00247696">
        <w:rPr>
          <w:rFonts w:ascii="宋体" w:eastAsia="宋体" w:hAnsi="宋体"/>
        </w:rPr>
        <w:t>4.5 类别级表现与错误结构</w:t>
      </w:r>
      <w:bookmarkEnd w:id="17"/>
    </w:p>
    <w:p w14:paraId="69CDA57A" w14:textId="77777777" w:rsidR="00374724" w:rsidRPr="00247696" w:rsidRDefault="007F137D">
      <w:pPr>
        <w:overflowPunct w:val="0"/>
        <w:autoSpaceDE w:val="0"/>
        <w:autoSpaceDN w:val="0"/>
        <w:snapToGrid w:val="0"/>
        <w:rPr>
          <w:rFonts w:ascii="宋体" w:hAnsi="宋体"/>
        </w:rPr>
      </w:pPr>
      <w:r w:rsidRPr="00247696">
        <w:rPr>
          <w:rFonts w:ascii="宋体" w:hAnsi="宋体"/>
        </w:rPr>
        <w:t>从混淆矩阵看，数字8的召回率最低，为40/43≈93.02%；其3个错误中，2个被识别为1，1个被识别为4。数字9有2个错误，分别被识别为6与7；数字1、4和5各有1个错误。数字0、2、3、6、7的真实样本均被正确识别，但6和7接收了其他类别的误报，因而它们的精确率并非100%。</w:t>
      </w:r>
    </w:p>
    <w:p w14:paraId="11521AA8" w14:textId="77777777" w:rsidR="00374724" w:rsidRPr="00247696" w:rsidRDefault="007F137D">
      <w:pPr>
        <w:keepNext/>
        <w:overflowPunct w:val="0"/>
        <w:autoSpaceDE w:val="0"/>
        <w:autoSpaceDN w:val="0"/>
        <w:snapToGrid w:val="0"/>
        <w:spacing w:line="240" w:lineRule="auto"/>
        <w:ind w:firstLine="0"/>
        <w:jc w:val="center"/>
        <w:rPr>
          <w:rFonts w:ascii="宋体" w:hAnsi="宋体"/>
        </w:rPr>
      </w:pPr>
      <w:r w:rsidRPr="00247696">
        <w:rPr>
          <w:rFonts w:ascii="宋体" w:hAnsi="宋体"/>
          <w:noProof/>
        </w:rPr>
        <w:drawing>
          <wp:inline distT="0" distB="0" distL="0" distR="0" wp14:anchorId="00177BFF" wp14:editId="1FFC8BC7">
            <wp:extent cx="4536000" cy="2791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9"/>
                    <a:stretch>
                      <a:fillRect/>
                    </a:stretch>
                  </pic:blipFill>
                  <pic:spPr>
                    <a:xfrm>
                      <a:off x="0" y="0"/>
                      <a:ext cx="4536000" cy="2791385"/>
                    </a:xfrm>
                    <a:prstGeom prst="rect">
                      <a:avLst/>
                    </a:prstGeom>
                  </pic:spPr>
                </pic:pic>
              </a:graphicData>
            </a:graphic>
          </wp:inline>
        </w:drawing>
      </w:r>
    </w:p>
    <w:p w14:paraId="15D550A3" w14:textId="77777777" w:rsidR="00374724" w:rsidRPr="00247696" w:rsidRDefault="007F137D">
      <w:pPr>
        <w:pStyle w:val="af7"/>
        <w:overflowPunct w:val="0"/>
        <w:autoSpaceDE w:val="0"/>
        <w:autoSpaceDN w:val="0"/>
        <w:snapToGrid w:val="0"/>
        <w:spacing w:after="80" w:line="300" w:lineRule="exact"/>
        <w:jc w:val="center"/>
        <w:rPr>
          <w:rFonts w:ascii="宋体" w:hAnsi="宋体"/>
        </w:rPr>
      </w:pPr>
      <w:r w:rsidRPr="00247696">
        <w:rPr>
          <w:rFonts w:ascii="宋体" w:hAnsi="宋体"/>
        </w:rPr>
        <w:t>图3  基线在450个测试样本上的混淆矩阵</w:t>
      </w:r>
    </w:p>
    <w:p w14:paraId="33833A22" w14:textId="5B8FC1AB" w:rsidR="00374724" w:rsidRPr="00247696" w:rsidRDefault="007F137D">
      <w:pPr>
        <w:overflowPunct w:val="0"/>
        <w:autoSpaceDE w:val="0"/>
        <w:autoSpaceDN w:val="0"/>
        <w:snapToGrid w:val="0"/>
        <w:rPr>
          <w:rFonts w:ascii="宋体" w:hAnsi="宋体"/>
        </w:rPr>
      </w:pPr>
      <w:r w:rsidRPr="00247696">
        <w:rPr>
          <w:rFonts w:ascii="宋体" w:hAnsi="宋体"/>
        </w:rPr>
        <w:t>这一例子说明，单看每类召回率可能遗漏误报问题。数字8的精确率为100%，却有较低召回率，意味着模型没有把其他类错判为8，但漏掉了部分真实的8。相反，数字7的召回率为100%，精确率约为95.74%，说明它识别出了所有真实的7，同时把其他数字中的部分样本也判为了7。</w:t>
      </w:r>
    </w:p>
    <w:p w14:paraId="4C59F7AD" w14:textId="77777777" w:rsidR="00374724" w:rsidRPr="00247696" w:rsidRDefault="007F137D">
      <w:pPr>
        <w:pStyle w:val="21"/>
        <w:overflowPunct w:val="0"/>
        <w:autoSpaceDE w:val="0"/>
        <w:autoSpaceDN w:val="0"/>
        <w:snapToGrid w:val="0"/>
        <w:rPr>
          <w:rFonts w:ascii="宋体" w:eastAsia="宋体" w:hAnsi="宋体"/>
        </w:rPr>
      </w:pPr>
      <w:bookmarkStart w:id="18" w:name="_Toc242559118"/>
      <w:r w:rsidRPr="00247696">
        <w:rPr>
          <w:rFonts w:ascii="宋体" w:eastAsia="宋体" w:hAnsi="宋体"/>
        </w:rPr>
        <w:lastRenderedPageBreak/>
        <w:t>4.6 不确定性与计算成本</w:t>
      </w:r>
      <w:bookmarkEnd w:id="18"/>
    </w:p>
    <w:p w14:paraId="327F9312" w14:textId="77777777" w:rsidR="00374724" w:rsidRPr="00247696" w:rsidRDefault="007F137D">
      <w:pPr>
        <w:overflowPunct w:val="0"/>
        <w:autoSpaceDE w:val="0"/>
        <w:autoSpaceDN w:val="0"/>
        <w:snapToGrid w:val="0"/>
        <w:rPr>
          <w:rFonts w:ascii="宋体" w:hAnsi="宋体"/>
        </w:rPr>
      </w:pPr>
      <w:r w:rsidRPr="00247696">
        <w:rPr>
          <w:rFonts w:ascii="宋体" w:hAnsi="宋体"/>
        </w:rPr>
        <w:t>以442/450的准确率计算，Wilson方法给出的近似95%区间为96.53%至99.10%[5]。这一计算将测试样本视作独立伯努利观测，仅用于说明有限测试规模带来的不确定性，不能覆盖训练集随机性、书写者相关性或模型选择过程。三种配置共享同一测试集且预测相同，因此不能通过比较各自区间来证明它们等价，也没有独立的错误差异支持显著性提升的结论。</w:t>
      </w:r>
    </w:p>
    <w:p w14:paraId="6339F09B" w14:textId="77777777" w:rsidR="00374724" w:rsidRPr="00247696" w:rsidRDefault="007F137D">
      <w:pPr>
        <w:overflowPunct w:val="0"/>
        <w:autoSpaceDE w:val="0"/>
        <w:autoSpaceDN w:val="0"/>
        <w:snapToGrid w:val="0"/>
        <w:rPr>
          <w:rFonts w:ascii="宋体" w:hAnsi="宋体"/>
        </w:rPr>
      </w:pPr>
      <w:r w:rsidRPr="00247696">
        <w:rPr>
          <w:rFonts w:ascii="宋体" w:hAnsi="宋体"/>
        </w:rPr>
        <w:t>原运行日志中，M1与M2的最终拟合耗时约为0.031秒和0.042秒，测试推理均约为0.029秒。这些数值只测量一次，且接近毫秒级系统波动范围。尤其M2的网格有48个候选而M1只有12个，完整搜索成本没有体现在上述拟合时间中。因此，当前结果不能证明PCA提高了端到端运行效率；可以直接证实的收益仅是特征表示从64维减少到54维。</w:t>
      </w:r>
    </w:p>
    <w:p w14:paraId="347CD605" w14:textId="77777777" w:rsidR="00906622" w:rsidRDefault="00906622">
      <w:pPr>
        <w:spacing w:after="200" w:line="276" w:lineRule="auto"/>
        <w:ind w:firstLine="0"/>
        <w:rPr>
          <w:rFonts w:ascii="宋体" w:hAnsi="宋体" w:cstheme="majorBidi" w:hint="eastAsia"/>
          <w:b/>
          <w:bCs/>
          <w:sz w:val="28"/>
          <w:szCs w:val="28"/>
        </w:rPr>
      </w:pPr>
      <w:bookmarkStart w:id="19" w:name="_Toc242559119"/>
      <w:r>
        <w:rPr>
          <w:rFonts w:ascii="宋体" w:hAnsi="宋体" w:hint="eastAsia"/>
        </w:rPr>
        <w:br w:type="page"/>
      </w:r>
    </w:p>
    <w:p w14:paraId="40D046B2" w14:textId="3505A44C" w:rsidR="00374724" w:rsidRPr="00247696" w:rsidRDefault="007F137D">
      <w:pPr>
        <w:pStyle w:val="1"/>
        <w:overflowPunct w:val="0"/>
        <w:autoSpaceDE w:val="0"/>
        <w:autoSpaceDN w:val="0"/>
        <w:snapToGrid w:val="0"/>
        <w:rPr>
          <w:rFonts w:ascii="宋体" w:eastAsia="宋体" w:hAnsi="宋体"/>
        </w:rPr>
      </w:pPr>
      <w:r w:rsidRPr="00247696">
        <w:rPr>
          <w:rFonts w:ascii="宋体" w:eastAsia="宋体" w:hAnsi="宋体"/>
        </w:rPr>
        <w:lastRenderedPageBreak/>
        <w:t>5 讨论</w:t>
      </w:r>
      <w:bookmarkEnd w:id="19"/>
    </w:p>
    <w:p w14:paraId="1134F315" w14:textId="77777777" w:rsidR="00374724" w:rsidRPr="00247696" w:rsidRDefault="007F137D">
      <w:pPr>
        <w:pStyle w:val="21"/>
        <w:overflowPunct w:val="0"/>
        <w:autoSpaceDE w:val="0"/>
        <w:autoSpaceDN w:val="0"/>
        <w:snapToGrid w:val="0"/>
        <w:rPr>
          <w:rFonts w:ascii="宋体" w:eastAsia="宋体" w:hAnsi="宋体"/>
        </w:rPr>
      </w:pPr>
      <w:bookmarkStart w:id="20" w:name="_Toc242559120"/>
      <w:r w:rsidRPr="00247696">
        <w:rPr>
          <w:rFonts w:ascii="宋体" w:eastAsia="宋体" w:hAnsi="宋体"/>
        </w:rPr>
        <w:t>5.1 组合方案的适用条件</w:t>
      </w:r>
      <w:bookmarkEnd w:id="20"/>
    </w:p>
    <w:p w14:paraId="375E2CFE" w14:textId="77777777" w:rsidR="00374724" w:rsidRPr="00247696" w:rsidRDefault="007F137D">
      <w:pPr>
        <w:overflowPunct w:val="0"/>
        <w:autoSpaceDE w:val="0"/>
        <w:autoSpaceDN w:val="0"/>
        <w:snapToGrid w:val="0"/>
        <w:rPr>
          <w:rFonts w:ascii="宋体" w:hAnsi="宋体"/>
        </w:rPr>
      </w:pPr>
      <w:r w:rsidRPr="00247696">
        <w:rPr>
          <w:rFonts w:ascii="宋体" w:hAnsi="宋体"/>
        </w:rPr>
        <w:t>PCA的价值取决于信息压缩收益与任务信息损失的相对大小。本实验输入原本只有64维，且其中存在零方差列，留给压缩算法的空间有限。RBF-SVM在直接标准化输入上已经获得较高准确率，PCA很难仅通过轻量压缩带来明显精度收益。对于更高维数据，降维可能减少距离计算与存储成本，但这一可能性不是本实验已经验证的结论。</w:t>
      </w:r>
    </w:p>
    <w:p w14:paraId="32F0E73D" w14:textId="77777777" w:rsidR="00374724" w:rsidRPr="00247696" w:rsidRDefault="007F137D">
      <w:pPr>
        <w:overflowPunct w:val="0"/>
        <w:autoSpaceDE w:val="0"/>
        <w:autoSpaceDN w:val="0"/>
        <w:snapToGrid w:val="0"/>
        <w:rPr>
          <w:rFonts w:ascii="宋体" w:hAnsi="宋体"/>
        </w:rPr>
      </w:pPr>
      <w:r w:rsidRPr="00247696">
        <w:rPr>
          <w:rFonts w:ascii="宋体" w:hAnsi="宋体"/>
        </w:rPr>
        <w:t>从工程选择看，如果主要目标是建立简单的数字分类基线，M1不需要保存和执行额外的PCA投影，流程更直接。如果后续接口必须使用更短的特征向量，则可在训练集内权衡阈值与分类损失，而不能只按照固定方差比例套用PCA。本文的54维配置保留了此次测试表现，21维配置则在控制参数验证中付出了更明显的准确率代价，二者对应不同的压缩目标。</w:t>
      </w:r>
    </w:p>
    <w:p w14:paraId="5EE3D644" w14:textId="77777777" w:rsidR="00374724" w:rsidRPr="00247696" w:rsidRDefault="007F137D">
      <w:pPr>
        <w:pStyle w:val="21"/>
        <w:overflowPunct w:val="0"/>
        <w:autoSpaceDE w:val="0"/>
        <w:autoSpaceDN w:val="0"/>
        <w:snapToGrid w:val="0"/>
        <w:rPr>
          <w:rFonts w:ascii="宋体" w:eastAsia="宋体" w:hAnsi="宋体"/>
        </w:rPr>
      </w:pPr>
      <w:bookmarkStart w:id="21" w:name="_Toc242559121"/>
      <w:r w:rsidRPr="00247696">
        <w:rPr>
          <w:rFonts w:ascii="宋体" w:eastAsia="宋体" w:hAnsi="宋体"/>
        </w:rPr>
        <w:t>5.2 实验设计的限制</w:t>
      </w:r>
      <w:bookmarkEnd w:id="21"/>
    </w:p>
    <w:p w14:paraId="659FD700" w14:textId="77777777" w:rsidR="00374724" w:rsidRPr="00247696" w:rsidRDefault="007F137D">
      <w:pPr>
        <w:overflowPunct w:val="0"/>
        <w:autoSpaceDE w:val="0"/>
        <w:autoSpaceDN w:val="0"/>
        <w:snapToGrid w:val="0"/>
        <w:rPr>
          <w:rFonts w:ascii="宋体" w:hAnsi="宋体"/>
        </w:rPr>
      </w:pPr>
      <w:r w:rsidRPr="00247696">
        <w:rPr>
          <w:rFonts w:ascii="宋体" w:hAnsi="宋体"/>
        </w:rPr>
        <w:t>首先，实验仅使用一个数据集、一个主划分和有限网格。交叉验证用于选择超参数，不意味着获得五次独立外部测试；反复比较候选还可能使最高验证分数偏乐观。其次，M2拥有更多候选配置，搜索预算与M1不相同，因此主比较反映的是两个调参流程，而非严格相同搜索预算下的模块优劣。固定参数消融缓解了归因问题，但没有替代独立数据上的最终验证。</w:t>
      </w:r>
    </w:p>
    <w:p w14:paraId="40081535" w14:textId="77777777" w:rsidR="00374724" w:rsidRPr="00247696" w:rsidRDefault="007F137D">
      <w:pPr>
        <w:overflowPunct w:val="0"/>
        <w:autoSpaceDE w:val="0"/>
        <w:autoSpaceDN w:val="0"/>
        <w:snapToGrid w:val="0"/>
        <w:rPr>
          <w:rFonts w:ascii="宋体" w:hAnsi="宋体"/>
        </w:rPr>
      </w:pPr>
      <w:r w:rsidRPr="00247696">
        <w:rPr>
          <w:rFonts w:ascii="宋体" w:hAnsi="宋体"/>
        </w:rPr>
        <w:t>再次，直接展平忽略了像素空间邻接结构，本文没有加入局部梯度描述子、平移不变特征或卷积网络作为对照。所有图像也没有经历新增噪声、笔画缺失或设备变化测试。因此，较高准确率不代表实际文档识别中同样可靠。未来可先扩展按书写者分组的划分和多随机种子评估，再比较不同特征表示，在相同评估协议下检验结论能否保持。</w:t>
      </w:r>
    </w:p>
    <w:p w14:paraId="112275E9" w14:textId="77777777" w:rsidR="00374724" w:rsidRPr="00247696" w:rsidRDefault="007F137D">
      <w:pPr>
        <w:pStyle w:val="21"/>
        <w:overflowPunct w:val="0"/>
        <w:autoSpaceDE w:val="0"/>
        <w:autoSpaceDN w:val="0"/>
        <w:snapToGrid w:val="0"/>
        <w:rPr>
          <w:rFonts w:ascii="宋体" w:eastAsia="宋体" w:hAnsi="宋体"/>
        </w:rPr>
      </w:pPr>
      <w:bookmarkStart w:id="22" w:name="_Toc242559122"/>
      <w:r w:rsidRPr="00247696">
        <w:rPr>
          <w:rFonts w:ascii="宋体" w:eastAsia="宋体" w:hAnsi="宋体"/>
        </w:rPr>
        <w:t>5.3 可复现性与结果解释</w:t>
      </w:r>
      <w:bookmarkEnd w:id="22"/>
    </w:p>
    <w:p w14:paraId="72123572" w14:textId="77777777" w:rsidR="00374724" w:rsidRPr="00247696" w:rsidRDefault="007F137D">
      <w:pPr>
        <w:overflowPunct w:val="0"/>
        <w:autoSpaceDE w:val="0"/>
        <w:autoSpaceDN w:val="0"/>
        <w:snapToGrid w:val="0"/>
        <w:rPr>
          <w:rFonts w:ascii="宋体" w:hAnsi="宋体"/>
        </w:rPr>
      </w:pPr>
      <w:r w:rsidRPr="00247696">
        <w:rPr>
          <w:rFonts w:ascii="宋体" w:hAnsi="宋体"/>
        </w:rPr>
        <w:t>原实验脚本run_experiment.py记录了主比较的划分、网格和软件版本，并输出metrics.json及raw_predictions.json；supplementary.py独立复核原预测，记录受控消融的每折得分和准确率区间。结果目录名在旧脚本中使用“實驗結果”，与部分旧说明中的“实验结果”不同，复现时应以脚本实际输出为准。本文新稿的数值直接核对实际结果文件，不从旧版PDF表格反向提取。</w:t>
      </w:r>
    </w:p>
    <w:p w14:paraId="3F995365" w14:textId="77777777" w:rsidR="00374724" w:rsidRPr="00247696" w:rsidRDefault="007F137D">
      <w:pPr>
        <w:overflowPunct w:val="0"/>
        <w:autoSpaceDE w:val="0"/>
        <w:autoSpaceDN w:val="0"/>
        <w:snapToGrid w:val="0"/>
        <w:rPr>
          <w:rFonts w:ascii="宋体" w:hAnsi="宋体"/>
        </w:rPr>
      </w:pPr>
      <w:r w:rsidRPr="00247696">
        <w:rPr>
          <w:rFonts w:ascii="宋体" w:hAnsi="宋体"/>
        </w:rPr>
        <w:t>对于课程实验而言，可信的负结果仍然具有分析价值。本文明确区分了“预测没有变化”“特征维度减少”和“计算更快”三个命题：前两项由当前预测与模型参数支持，第三项缺少重复计时和完整搜索成本，不能成立。保持这种区分，比在相同准确率上包装未经验证的性能提升更能反映组合方法的实际作用。</w:t>
      </w:r>
    </w:p>
    <w:p w14:paraId="782122A1" w14:textId="77777777" w:rsidR="00374724" w:rsidRPr="00247696" w:rsidRDefault="007F137D">
      <w:pPr>
        <w:pStyle w:val="1"/>
        <w:overflowPunct w:val="0"/>
        <w:autoSpaceDE w:val="0"/>
        <w:autoSpaceDN w:val="0"/>
        <w:snapToGrid w:val="0"/>
        <w:rPr>
          <w:rFonts w:ascii="宋体" w:eastAsia="宋体" w:hAnsi="宋体"/>
        </w:rPr>
      </w:pPr>
      <w:bookmarkStart w:id="23" w:name="_Toc242559123"/>
      <w:r w:rsidRPr="00247696">
        <w:rPr>
          <w:rFonts w:ascii="宋体" w:eastAsia="宋体" w:hAnsi="宋体"/>
        </w:rPr>
        <w:lastRenderedPageBreak/>
        <w:t>6 结论</w:t>
      </w:r>
      <w:bookmarkEnd w:id="23"/>
    </w:p>
    <w:p w14:paraId="2A3A6BA2" w14:textId="77777777" w:rsidR="00374724" w:rsidRPr="00247696" w:rsidRDefault="007F137D">
      <w:pPr>
        <w:overflowPunct w:val="0"/>
        <w:autoSpaceDE w:val="0"/>
        <w:autoSpaceDN w:val="0"/>
        <w:snapToGrid w:val="0"/>
        <w:rPr>
          <w:rFonts w:ascii="宋体" w:hAnsi="宋体"/>
        </w:rPr>
      </w:pPr>
      <w:r w:rsidRPr="00247696">
        <w:rPr>
          <w:rFonts w:ascii="宋体" w:hAnsi="宋体"/>
        </w:rPr>
        <w:t>本文完成了标准化、PCA与RBF-SVM组成的手写数字识别实验，并通过训练集内调参、留出测试与固定参数消融分析其性能。主比较中，基线与PCA方案的测试准确率均为98.22%，宏平均F1均为98.21%，逐样本预测相同。PCA方案将输入从64维压缩至54维，保留约99.14%的标准化训练方差，但未观察到测试性能提升。</w:t>
      </w:r>
    </w:p>
    <w:p w14:paraId="1E3FE41F" w14:textId="2F374737" w:rsidR="00906622" w:rsidRDefault="007F137D">
      <w:pPr>
        <w:overflowPunct w:val="0"/>
        <w:autoSpaceDE w:val="0"/>
        <w:autoSpaceDN w:val="0"/>
        <w:snapToGrid w:val="0"/>
        <w:rPr>
          <w:rFonts w:ascii="宋体" w:hAnsi="宋体" w:hint="eastAsia"/>
        </w:rPr>
      </w:pPr>
      <w:r w:rsidRPr="00247696">
        <w:rPr>
          <w:rFonts w:ascii="宋体" w:hAnsi="宋体"/>
        </w:rPr>
        <w:t>固定分类器参数后的补充实验表明，在所检查的四个阈值中，较高方差保留率对应较高验证准确率，较强压缩则可能丢失识别信息。结果支持在该任务中优先使用简单基线，并在确有表示压缩需求时再依据验证结果选择PCA。今后应增加按书写者划分、跨数据集与多随机种子的实验，进一步检验压缩与泛化之间的关系，而非仅根据一次高准确率作普遍推断。</w:t>
      </w:r>
    </w:p>
    <w:p w14:paraId="7D0B227E" w14:textId="6E4521A1" w:rsidR="00374724" w:rsidRPr="00247696" w:rsidRDefault="00906622" w:rsidP="00906622">
      <w:pPr>
        <w:spacing w:after="200" w:line="276" w:lineRule="auto"/>
        <w:ind w:firstLine="0"/>
        <w:rPr>
          <w:rFonts w:ascii="宋体" w:hAnsi="宋体" w:hint="eastAsia"/>
          <w:lang w:eastAsia="zh-CN"/>
        </w:rPr>
      </w:pPr>
      <w:r>
        <w:rPr>
          <w:rFonts w:ascii="宋体" w:hAnsi="宋体" w:hint="eastAsia"/>
        </w:rPr>
        <w:br w:type="page"/>
      </w:r>
    </w:p>
    <w:p w14:paraId="141F2A91" w14:textId="77777777" w:rsidR="00374724" w:rsidRPr="00247696" w:rsidRDefault="007F137D">
      <w:pPr>
        <w:pStyle w:val="1"/>
        <w:overflowPunct w:val="0"/>
        <w:autoSpaceDE w:val="0"/>
        <w:autoSpaceDN w:val="0"/>
        <w:snapToGrid w:val="0"/>
        <w:rPr>
          <w:rFonts w:ascii="宋体" w:eastAsia="宋体" w:hAnsi="宋体"/>
        </w:rPr>
      </w:pPr>
      <w:bookmarkStart w:id="24" w:name="_Toc242559124"/>
      <w:r w:rsidRPr="00247696">
        <w:rPr>
          <w:rFonts w:ascii="宋体" w:eastAsia="宋体" w:hAnsi="宋体"/>
        </w:rPr>
        <w:lastRenderedPageBreak/>
        <w:t>参考文献</w:t>
      </w:r>
      <w:bookmarkEnd w:id="24"/>
    </w:p>
    <w:p w14:paraId="0AB0C416" w14:textId="77777777" w:rsidR="00374724" w:rsidRPr="00247696" w:rsidRDefault="007F137D">
      <w:pPr>
        <w:overflowPunct w:val="0"/>
        <w:autoSpaceDE w:val="0"/>
        <w:autoSpaceDN w:val="0"/>
        <w:snapToGrid w:val="0"/>
        <w:spacing w:after="80" w:line="320" w:lineRule="exact"/>
        <w:ind w:firstLine="0"/>
        <w:rPr>
          <w:rFonts w:ascii="宋体" w:hAnsi="宋体"/>
        </w:rPr>
      </w:pPr>
      <w:r w:rsidRPr="00247696">
        <w:rPr>
          <w:rFonts w:ascii="宋体" w:hAnsi="宋体"/>
          <w:sz w:val="21"/>
        </w:rPr>
        <w:t>[1] CORTES C, VAPNIK V. Support-vector networks[J]. Machine Learning, 1995, 20: 273–297. DOI: 10.1007/BF00994018.</w:t>
      </w:r>
    </w:p>
    <w:p w14:paraId="3A5F3771" w14:textId="77777777" w:rsidR="00374724" w:rsidRPr="00247696" w:rsidRDefault="007F137D">
      <w:pPr>
        <w:overflowPunct w:val="0"/>
        <w:autoSpaceDE w:val="0"/>
        <w:autoSpaceDN w:val="0"/>
        <w:snapToGrid w:val="0"/>
        <w:spacing w:after="80" w:line="320" w:lineRule="exact"/>
        <w:ind w:firstLine="0"/>
        <w:rPr>
          <w:rFonts w:ascii="宋体" w:hAnsi="宋体"/>
        </w:rPr>
      </w:pPr>
      <w:r w:rsidRPr="00247696">
        <w:rPr>
          <w:rFonts w:ascii="宋体" w:hAnsi="宋体"/>
          <w:sz w:val="21"/>
        </w:rPr>
        <w:t>[2] JOLLIFFE I T, CADIMA J. Principal component analysis: a review and recent developments[J]. Philosophical Transactions of the Royal Society A, 2016, 374(2065): 20150202. DOI: 10.1098/rsta.2015.0202.</w:t>
      </w:r>
    </w:p>
    <w:p w14:paraId="71DEAD69" w14:textId="77777777" w:rsidR="00374724" w:rsidRPr="00247696" w:rsidRDefault="007F137D">
      <w:pPr>
        <w:overflowPunct w:val="0"/>
        <w:autoSpaceDE w:val="0"/>
        <w:autoSpaceDN w:val="0"/>
        <w:snapToGrid w:val="0"/>
        <w:spacing w:after="80" w:line="320" w:lineRule="exact"/>
        <w:ind w:firstLine="0"/>
        <w:rPr>
          <w:rFonts w:ascii="宋体" w:hAnsi="宋体"/>
        </w:rPr>
      </w:pPr>
      <w:r w:rsidRPr="00247696">
        <w:rPr>
          <w:rFonts w:ascii="宋体" w:hAnsi="宋体"/>
          <w:sz w:val="21"/>
        </w:rPr>
        <w:t>[3] PEDREGOSA F, VAROQUAUX G, GRAMFORT A, et al. Scikit-learn: Machine Learning in Python[J]. Journal of Machine Learning Research, 2011, 12: 2825–2830.</w:t>
      </w:r>
    </w:p>
    <w:p w14:paraId="06AF7A4D" w14:textId="77777777" w:rsidR="00374724" w:rsidRPr="00247696" w:rsidRDefault="007F137D">
      <w:pPr>
        <w:overflowPunct w:val="0"/>
        <w:autoSpaceDE w:val="0"/>
        <w:autoSpaceDN w:val="0"/>
        <w:snapToGrid w:val="0"/>
        <w:spacing w:after="80" w:line="320" w:lineRule="exact"/>
        <w:ind w:firstLine="0"/>
        <w:rPr>
          <w:rFonts w:ascii="宋体" w:hAnsi="宋体"/>
        </w:rPr>
      </w:pPr>
      <w:r w:rsidRPr="00247696">
        <w:rPr>
          <w:rFonts w:ascii="宋体" w:hAnsi="宋体"/>
          <w:sz w:val="21"/>
        </w:rPr>
        <w:t>[4] Scikit-learn developers. load_digits[EB/OL]. https://scikit-learn.org/stable/modules/generated/sklearn.datasets.load_digits.html.</w:t>
      </w:r>
    </w:p>
    <w:p w14:paraId="14F397D8" w14:textId="77777777" w:rsidR="00374724" w:rsidRPr="00247696" w:rsidRDefault="007F137D">
      <w:pPr>
        <w:overflowPunct w:val="0"/>
        <w:autoSpaceDE w:val="0"/>
        <w:autoSpaceDN w:val="0"/>
        <w:snapToGrid w:val="0"/>
        <w:spacing w:after="80" w:line="320" w:lineRule="exact"/>
        <w:ind w:firstLine="0"/>
        <w:rPr>
          <w:rFonts w:ascii="宋体" w:hAnsi="宋体"/>
        </w:rPr>
      </w:pPr>
      <w:r w:rsidRPr="00247696">
        <w:rPr>
          <w:rFonts w:ascii="宋体" w:hAnsi="宋体"/>
          <w:sz w:val="21"/>
        </w:rPr>
        <w:t>[5] WILSON E B. Probable inference, the law of succession, and statistical inference[J]. Journal of the American Statistical Association, 1927, 22(158): 209–212. DOI: 10.1080/01621459.1927.10502953.</w:t>
      </w:r>
    </w:p>
    <w:p w14:paraId="6014F1F7" w14:textId="77777777" w:rsidR="00374724" w:rsidRPr="00247696" w:rsidRDefault="007F137D">
      <w:pPr>
        <w:pStyle w:val="21"/>
        <w:overflowPunct w:val="0"/>
        <w:autoSpaceDE w:val="0"/>
        <w:autoSpaceDN w:val="0"/>
        <w:snapToGrid w:val="0"/>
        <w:rPr>
          <w:rFonts w:ascii="宋体" w:eastAsia="宋体" w:hAnsi="宋体"/>
        </w:rPr>
      </w:pPr>
      <w:bookmarkStart w:id="25" w:name="_Toc242559125"/>
      <w:r w:rsidRPr="00247696">
        <w:rPr>
          <w:rFonts w:ascii="宋体" w:eastAsia="宋体" w:hAnsi="宋体"/>
        </w:rPr>
        <w:t>AI工具使用说明</w:t>
      </w:r>
      <w:bookmarkEnd w:id="25"/>
    </w:p>
    <w:p w14:paraId="1E9368EC" w14:textId="6D281FC9" w:rsidR="00374724" w:rsidRPr="00247696" w:rsidRDefault="007F137D">
      <w:pPr>
        <w:overflowPunct w:val="0"/>
        <w:autoSpaceDE w:val="0"/>
        <w:autoSpaceDN w:val="0"/>
        <w:snapToGrid w:val="0"/>
        <w:rPr>
          <w:rFonts w:ascii="宋体" w:hAnsi="宋体"/>
        </w:rPr>
      </w:pPr>
      <w:r w:rsidRPr="00247696">
        <w:rPr>
          <w:rFonts w:ascii="宋体" w:hAnsi="宋体"/>
        </w:rPr>
        <w:t>本稿使用AI工具辅助实验脚本编写、结果核对、论文草稿组织和Word排版；新增消融与原预测复核均由本地脚本实际运行，未人工编造实验结果。PCA、SVM及其软件实现的来源已在正文中区分并引用。</w:t>
      </w:r>
    </w:p>
    <w:sectPr w:rsidR="00374724" w:rsidRPr="00247696" w:rsidSect="00034616">
      <w:footerReference w:type="default" r:id="rId10"/>
      <w:pgSz w:w="11906" w:h="16838"/>
      <w:pgMar w:top="1304" w:right="1417" w:bottom="1304" w:left="1417" w:header="72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281D" w14:textId="77777777" w:rsidR="00F11C65" w:rsidRDefault="00F11C65">
      <w:pPr>
        <w:spacing w:line="240" w:lineRule="auto"/>
      </w:pPr>
      <w:r>
        <w:separator/>
      </w:r>
    </w:p>
  </w:endnote>
  <w:endnote w:type="continuationSeparator" w:id="0">
    <w:p w14:paraId="35491C89" w14:textId="77777777" w:rsidR="00F11C65" w:rsidRDefault="00F11C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1AFD" w14:textId="1394C895" w:rsidR="00374724" w:rsidRDefault="007F137D">
    <w:pPr>
      <w:pStyle w:val="a7"/>
      <w:ind w:firstLine="0"/>
      <w:jc w:val="center"/>
    </w:pPr>
    <w:r>
      <w:fldChar w:fldCharType="begin"/>
    </w:r>
    <w:r>
      <w:instrText>PAGE</w:instrText>
    </w:r>
    <w:r>
      <w:fldChar w:fldCharType="separate"/>
    </w:r>
    <w:r w:rsidR="00463D2A">
      <w:rPr>
        <w:b/>
        <w:noProof/>
      </w:rPr>
      <w:t>!</w:t>
    </w:r>
    <w:r w:rsidR="00463D2A">
      <w:rPr>
        <w:rFonts w:hint="eastAsia"/>
        <w:b/>
        <w:noProof/>
      </w:rPr>
      <w:t>未定义的书签，</w:t>
    </w:r>
    <w:r w:rsidR="00463D2A">
      <w:rPr>
        <w:b/>
        <w:noProof/>
      </w:rPr>
      <w:t>PAGE</w:t>
    </w:r>
    <w:r w:rsidR="00463D2A">
      <w:rPr>
        <w:rFonts w:ascii="Batang" w:eastAsia="Batang" w:hAnsi="Batang" w:cs="Batang" w:hint="eastAsia"/>
        <w:b/>
        <w:noProof/>
      </w:rPr>
      <w:t>궠</w:t>
    </w:r>
    <w:r w:rsidR="00463D2A">
      <w:rPr>
        <w:rFonts w:cs="Times New Roman"/>
        <w:b/>
        <w:noProof/>
      </w:rPr>
      <w:t>‏</w:t>
    </w:r>
    <w:r w:rsidR="00463D2A">
      <w:rPr>
        <w:rFonts w:hint="eastAsia"/>
        <w:b/>
        <w:noProof/>
      </w:rP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8C02C" w14:textId="77777777" w:rsidR="00F11C65" w:rsidRDefault="00F11C65">
      <w:pPr>
        <w:spacing w:line="240" w:lineRule="auto"/>
      </w:pPr>
      <w:r>
        <w:separator/>
      </w:r>
    </w:p>
  </w:footnote>
  <w:footnote w:type="continuationSeparator" w:id="0">
    <w:p w14:paraId="5F9951E7" w14:textId="77777777" w:rsidR="00F11C65" w:rsidRDefault="00F11C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3013140">
    <w:abstractNumId w:val="8"/>
  </w:num>
  <w:num w:numId="2" w16cid:durableId="2052605426">
    <w:abstractNumId w:val="6"/>
  </w:num>
  <w:num w:numId="3" w16cid:durableId="939484848">
    <w:abstractNumId w:val="5"/>
  </w:num>
  <w:num w:numId="4" w16cid:durableId="1264648528">
    <w:abstractNumId w:val="4"/>
  </w:num>
  <w:num w:numId="5" w16cid:durableId="302394196">
    <w:abstractNumId w:val="7"/>
  </w:num>
  <w:num w:numId="6" w16cid:durableId="1041980784">
    <w:abstractNumId w:val="3"/>
  </w:num>
  <w:num w:numId="7" w16cid:durableId="1874421571">
    <w:abstractNumId w:val="2"/>
  </w:num>
  <w:num w:numId="8" w16cid:durableId="1319186067">
    <w:abstractNumId w:val="1"/>
  </w:num>
  <w:num w:numId="9" w16cid:durableId="10311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3BC"/>
    <w:rsid w:val="00247696"/>
    <w:rsid w:val="0029639D"/>
    <w:rsid w:val="00326F90"/>
    <w:rsid w:val="003640AA"/>
    <w:rsid w:val="00374724"/>
    <w:rsid w:val="0041578A"/>
    <w:rsid w:val="004160D0"/>
    <w:rsid w:val="00463D2A"/>
    <w:rsid w:val="004B0741"/>
    <w:rsid w:val="005B000A"/>
    <w:rsid w:val="007F137D"/>
    <w:rsid w:val="00906622"/>
    <w:rsid w:val="00AA1D8D"/>
    <w:rsid w:val="00B47730"/>
    <w:rsid w:val="00BC0707"/>
    <w:rsid w:val="00BC7DE8"/>
    <w:rsid w:val="00CB0664"/>
    <w:rsid w:val="00CB1A3E"/>
    <w:rsid w:val="00F11C65"/>
    <w:rsid w:val="00FC693F"/>
    <w:rsid w:val="00FE7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3A5370"/>
  <w14:defaultImageDpi w14:val="330"/>
  <w15:docId w15:val="{EB05AE54-DEC9-4C82-8862-FD097048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160" w:after="80"/>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60" w:after="80"/>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pPr>
    <w:rPr>
      <w:rFonts w:asciiTheme="majorHAnsi" w:eastAsiaTheme="majorEastAsia" w:hAnsiTheme="majorHAnsi" w:cstheme="majorBidi"/>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CB1A3E"/>
    <w:pPr>
      <w:ind w:leftChars="200" w:left="420"/>
    </w:pPr>
  </w:style>
  <w:style w:type="paragraph" w:styleId="TOC1">
    <w:name w:val="toc 1"/>
    <w:basedOn w:val="a1"/>
    <w:next w:val="a1"/>
    <w:autoRedefine/>
    <w:uiPriority w:val="39"/>
    <w:unhideWhenUsed/>
    <w:rsid w:val="00CB1A3E"/>
  </w:style>
  <w:style w:type="character" w:styleId="aff9">
    <w:name w:val="Hyperlink"/>
    <w:basedOn w:val="a2"/>
    <w:uiPriority w:val="99"/>
    <w:unhideWhenUsed/>
    <w:rsid w:val="00CB1A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PCA降维对手写数字识别性能的影响研究</dc:title>
  <dc:subject/>
  <dc:creator/>
  <cp:keywords/>
  <dc:description>generated by python-docx</dc:description>
  <cp:lastModifiedBy>顺鑫 曹</cp:lastModifiedBy>
  <cp:revision>8</cp:revision>
  <cp:lastPrinted>2026-10-10T12:51:00Z</cp:lastPrinted>
  <dcterms:created xsi:type="dcterms:W3CDTF">2013-12-23T23:15:00Z</dcterms:created>
  <dcterms:modified xsi:type="dcterms:W3CDTF">2026-10-10T13:17:00Z</dcterms:modified>
  <cp:category/>
</cp:coreProperties>
</file>