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hdbgcibrt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Phần 1: Tổng Quan Về Kiến Trúc và Công Nghệ Blockchain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bi7y2xej7g2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Blockchain Là Gì? Kiến Trúc và Nguyên Lý Hoạt Động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Định nghĩa blockchain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Các thành phần chính trong blockchain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Chain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Cơ chế đồng thuận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Cách thức hoạt động của blockchain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2jxiwtb52b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Các Loại Blockchain và Ứng Dụng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Blockchain công khai (Public Blockchain)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Blockchain riêng tư (Private Blockchain)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Blockchain lai (Hybrid Blockchain)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Ứng dụng thực tiễn của blockchain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bmspsty6s1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Cơ Chế Đồng Thuận Trong Blockchain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Proof of Work (PoW)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Proof of Stake (PoS)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Delegated Proof of Stake (DPoS)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Byzantine Fault Tolerance (PBFT)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Các cơ chế đồng thuận mới và tiềm năng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uzvn5skl5a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Smart Contract - Hợp Đồng Thông Minh Là Gì?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Định nghĩa smart contract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Cách hoạt động của smart contract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Các nền tảng hỗ trợ smart contract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Các lỗ hổng và rủi ro bảo mật của smart contract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