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40" w:rsidRDefault="00B26245" w:rsidP="00B262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</w:t>
      </w:r>
    </w:p>
    <w:p w:rsidR="00B26245" w:rsidRPr="006344D6" w:rsidRDefault="00B26245" w:rsidP="00B262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>;</w:t>
      </w:r>
    </w:p>
    <w:p w:rsidR="00B26245" w:rsidRDefault="00B26245" w:rsidP="00B262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6245" w:rsidRDefault="00B26245" w:rsidP="00B262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0.055-0.05%/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6245" w:rsidRDefault="00B26245" w:rsidP="00B262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“buy-to-close order”.</w:t>
      </w:r>
    </w:p>
    <w:p w:rsidR="00B26245" w:rsidRDefault="00B26245" w:rsidP="00B262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26245" w:rsidRPr="006344D6" w:rsidRDefault="00B26245" w:rsidP="00B262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short sell.</w:t>
      </w:r>
    </w:p>
    <w:p w:rsidR="00B26245" w:rsidRDefault="00B7209A" w:rsidP="00B72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>ký</w:t>
      </w:r>
      <w:proofErr w:type="spellEnd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>quỹ</w:t>
      </w:r>
      <w:proofErr w:type="spellEnd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ban </w:t>
      </w:r>
      <w:proofErr w:type="spellStart"/>
      <w:r w:rsidR="00D46C25" w:rsidRPr="00D46C25">
        <w:rPr>
          <w:rFonts w:ascii="Times New Roman" w:hAnsi="Times New Roman" w:cs="Times New Roman"/>
          <w:sz w:val="24"/>
          <w:szCs w:val="24"/>
          <w:highlight w:val="yellow"/>
        </w:rPr>
        <w:t>đầu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7209A" w:rsidRDefault="00B7209A" w:rsidP="00B72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7209A" w:rsidRPr="00D46C25" w:rsidRDefault="00B7209A" w:rsidP="00B72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Nhà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đầu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tư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short sell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cổ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phiếu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đang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xuống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Tức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nghĩa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thể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short sell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cổ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phiếu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khi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phiên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gần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nhất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thấp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hơn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phiên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đó</w:t>
      </w:r>
      <w:proofErr w:type="spellEnd"/>
      <w:r w:rsidRPr="00D46C2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46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6C25" w:rsidRPr="00D46C25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 w:rsidR="00D46C25" w:rsidRPr="00D46C25">
        <w:rPr>
          <w:rFonts w:ascii="Times New Roman" w:hAnsi="Times New Roman" w:cs="Times New Roman"/>
          <w:b/>
          <w:sz w:val="24"/>
          <w:szCs w:val="24"/>
          <w:highlight w:val="yellow"/>
        </w:rPr>
        <w:t>bỏ</w:t>
      </w:r>
      <w:proofErr w:type="spellEnd"/>
      <w:r w:rsidR="00D46C25" w:rsidRPr="00D46C25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B7209A" w:rsidRDefault="00B7209A" w:rsidP="00B72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209A" w:rsidRDefault="00B7209A" w:rsidP="00B720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7209A" w:rsidRPr="006344D6" w:rsidRDefault="00B7209A" w:rsidP="00B72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short sell</w:t>
      </w:r>
    </w:p>
    <w:p w:rsidR="00B7209A" w:rsidRPr="003146AF" w:rsidRDefault="00B7209A" w:rsidP="00B720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short sell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>:</w:t>
      </w:r>
    </w:p>
    <w:p w:rsidR="00B7209A" w:rsidRDefault="00B7209A" w:rsidP="00B720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gramStart"/>
      <w:r w:rsidR="00783576">
        <w:rPr>
          <w:rFonts w:ascii="Times New Roman" w:hAnsi="Times New Roman" w:cs="Times New Roman"/>
          <w:sz w:val="24"/>
          <w:szCs w:val="24"/>
        </w:rPr>
        <w:t>sell,</w:t>
      </w:r>
      <w:proofErr w:type="gram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</w:t>
      </w:r>
      <w:r w:rsidR="00783576">
        <w:rPr>
          <w:rFonts w:ascii="Times New Roman" w:hAnsi="Times New Roman" w:cs="Times New Roman"/>
          <w:sz w:val="24"/>
          <w:szCs w:val="24"/>
        </w:rPr>
        <w:t>.</w:t>
      </w:r>
    </w:p>
    <w:p w:rsidR="00B7209A" w:rsidRPr="003146AF" w:rsidRDefault="00B7209A" w:rsidP="00B720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short sell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6AF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3146AF">
        <w:rPr>
          <w:rFonts w:ascii="Times New Roman" w:hAnsi="Times New Roman" w:cs="Times New Roman"/>
          <w:b/>
          <w:sz w:val="24"/>
          <w:szCs w:val="24"/>
        </w:rPr>
        <w:t>:</w:t>
      </w:r>
    </w:p>
    <w:p w:rsidR="00B7209A" w:rsidRDefault="00B7209A" w:rsidP="00B720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357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76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783576">
        <w:rPr>
          <w:rFonts w:ascii="Times New Roman" w:hAnsi="Times New Roman" w:cs="Times New Roman"/>
          <w:sz w:val="24"/>
          <w:szCs w:val="24"/>
        </w:rPr>
        <w:t xml:space="preserve"> LO.</w:t>
      </w:r>
      <w:proofErr w:type="gramEnd"/>
    </w:p>
    <w:p w:rsidR="00783576" w:rsidRDefault="00783576" w:rsidP="00B720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3576" w:rsidRPr="006344D6" w:rsidRDefault="00783576" w:rsidP="0078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giả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>.</w:t>
      </w:r>
    </w:p>
    <w:p w:rsidR="00125A07" w:rsidRPr="009150E3" w:rsidRDefault="00125A07" w:rsidP="007835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</w:p>
    <w:p w:rsidR="00017910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</w:t>
      </w:r>
    </w:p>
    <w:p w:rsidR="00125A07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VND.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4,000,000 VND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9150E3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lời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lỗ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5A07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25A07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24" w:type="dxa"/>
        <w:tblInd w:w="250" w:type="dxa"/>
        <w:tblLook w:val="04A0" w:firstRow="1" w:lastRow="0" w:firstColumn="1" w:lastColumn="0" w:noHBand="0" w:noVBand="1"/>
      </w:tblPr>
      <w:tblGrid>
        <w:gridCol w:w="697"/>
        <w:gridCol w:w="1209"/>
        <w:gridCol w:w="1311"/>
        <w:gridCol w:w="1359"/>
        <w:gridCol w:w="1576"/>
        <w:gridCol w:w="1472"/>
      </w:tblGrid>
      <w:tr w:rsidR="00017910" w:rsidTr="00017910">
        <w:trPr>
          <w:trHeight w:val="874"/>
        </w:trPr>
        <w:tc>
          <w:tcPr>
            <w:tcW w:w="697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20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311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sell</w:t>
            </w:r>
          </w:p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576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khoán</w:t>
            </w:r>
            <w:proofErr w:type="spellEnd"/>
          </w:p>
        </w:tc>
        <w:tc>
          <w:tcPr>
            <w:tcW w:w="1472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</w:p>
        </w:tc>
      </w:tr>
      <w:tr w:rsidR="00017910" w:rsidTr="00017910">
        <w:trPr>
          <w:trHeight w:val="280"/>
        </w:trPr>
        <w:tc>
          <w:tcPr>
            <w:tcW w:w="697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311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59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76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472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017910" w:rsidTr="00017910">
        <w:trPr>
          <w:trHeight w:val="280"/>
        </w:trPr>
        <w:tc>
          <w:tcPr>
            <w:tcW w:w="697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10,200</w:t>
            </w:r>
          </w:p>
        </w:tc>
        <w:tc>
          <w:tcPr>
            <w:tcW w:w="1311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59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76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10,200,000</w:t>
            </w:r>
          </w:p>
        </w:tc>
        <w:tc>
          <w:tcPr>
            <w:tcW w:w="1472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39.2%</w:t>
            </w:r>
          </w:p>
        </w:tc>
      </w:tr>
      <w:tr w:rsidR="00017910" w:rsidTr="00017910">
        <w:trPr>
          <w:trHeight w:val="280"/>
        </w:trPr>
        <w:tc>
          <w:tcPr>
            <w:tcW w:w="697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10,300</w:t>
            </w:r>
          </w:p>
        </w:tc>
        <w:tc>
          <w:tcPr>
            <w:tcW w:w="1311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59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76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10,300,000</w:t>
            </w:r>
          </w:p>
        </w:tc>
        <w:tc>
          <w:tcPr>
            <w:tcW w:w="1472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38.8%</w:t>
            </w:r>
          </w:p>
        </w:tc>
      </w:tr>
      <w:tr w:rsidR="00017910" w:rsidTr="00017910">
        <w:trPr>
          <w:trHeight w:val="291"/>
        </w:trPr>
        <w:tc>
          <w:tcPr>
            <w:tcW w:w="697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9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10,200</w:t>
            </w:r>
          </w:p>
        </w:tc>
        <w:tc>
          <w:tcPr>
            <w:tcW w:w="1311" w:type="dxa"/>
          </w:tcPr>
          <w:p w:rsidR="00017910" w:rsidRDefault="00017910" w:rsidP="003C57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59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576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10,200,000</w:t>
            </w:r>
          </w:p>
        </w:tc>
        <w:tc>
          <w:tcPr>
            <w:tcW w:w="1472" w:type="dxa"/>
          </w:tcPr>
          <w:p w:rsidR="00017910" w:rsidRDefault="00017910" w:rsidP="00125A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39.2%</w:t>
            </w:r>
          </w:p>
        </w:tc>
      </w:tr>
    </w:tbl>
    <w:p w:rsidR="00125A07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3B6D" w:rsidRDefault="00213B6D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150E3"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phiên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này-giá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phiên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="003C57F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3576" w:rsidRPr="009150E3" w:rsidRDefault="00783576" w:rsidP="007835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ban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>:</w:t>
      </w:r>
    </w:p>
    <w:p w:rsidR="00783576" w:rsidRPr="009150E3" w:rsidRDefault="00783576" w:rsidP="0078357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ban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mặc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40%.</w:t>
      </w:r>
    </w:p>
    <w:p w:rsidR="00783576" w:rsidRDefault="00783576" w:rsidP="007835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3576" w:rsidRDefault="00783576" w:rsidP="007835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3576" w:rsidRDefault="00783576" w:rsidP="007835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3576" w:rsidRDefault="00783576" w:rsidP="0078357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DEF.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10,000 VND.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5A07" w:rsidRDefault="00125A07" w:rsidP="00125A0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40%*1000*10,000 = 4,000,000 VND</w:t>
      </w:r>
    </w:p>
    <w:p w:rsidR="003C57F6" w:rsidRPr="009150E3" w:rsidRDefault="003C57F6" w:rsidP="003C57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duy</w:t>
      </w:r>
      <w:proofErr w:type="spellEnd"/>
      <w:r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0E3">
        <w:rPr>
          <w:rFonts w:ascii="Times New Roman" w:hAnsi="Times New Roman" w:cs="Times New Roman"/>
          <w:b/>
          <w:sz w:val="24"/>
          <w:szCs w:val="24"/>
        </w:rPr>
        <w:t>trì</w:t>
      </w:r>
      <w:proofErr w:type="spellEnd"/>
    </w:p>
    <w:p w:rsidR="003C57F6" w:rsidRDefault="003C57F6" w:rsidP="003C57F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7F6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3C5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57F6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3C5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57F6">
        <w:rPr>
          <w:rFonts w:ascii="Times New Roman" w:hAnsi="Times New Roman" w:cs="Times New Roman"/>
          <w:b/>
          <w:sz w:val="24"/>
          <w:szCs w:val="24"/>
        </w:rPr>
        <w:t>quỹ</w:t>
      </w:r>
      <w:proofErr w:type="spellEnd"/>
      <w:r w:rsidRPr="003C57F6">
        <w:rPr>
          <w:rFonts w:ascii="Times New Roman" w:hAnsi="Times New Roman" w:cs="Times New Roman"/>
          <w:b/>
          <w:sz w:val="24"/>
          <w:szCs w:val="24"/>
        </w:rPr>
        <w:t xml:space="preserve"> ban </w:t>
      </w:r>
      <w:proofErr w:type="spellStart"/>
      <w:r w:rsidRPr="003C57F6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C57F6" w:rsidRDefault="003C57F6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C57F6" w:rsidRDefault="003C57F6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A37">
        <w:rPr>
          <w:rFonts w:ascii="Times New Roman" w:hAnsi="Times New Roman" w:cs="Times New Roman"/>
          <w:sz w:val="24"/>
          <w:szCs w:val="24"/>
        </w:rPr>
        <w:t xml:space="preserve">20%, ta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A3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93A3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611" w:type="dxa"/>
        <w:jc w:val="center"/>
        <w:tblInd w:w="250" w:type="dxa"/>
        <w:tblLook w:val="04A0" w:firstRow="1" w:lastRow="0" w:firstColumn="1" w:lastColumn="0" w:noHBand="0" w:noVBand="1"/>
      </w:tblPr>
      <w:tblGrid>
        <w:gridCol w:w="695"/>
        <w:gridCol w:w="1451"/>
        <w:gridCol w:w="1980"/>
        <w:gridCol w:w="1800"/>
        <w:gridCol w:w="1440"/>
        <w:gridCol w:w="1245"/>
      </w:tblGrid>
      <w:tr w:rsidR="00017910" w:rsidTr="00017910">
        <w:trPr>
          <w:trHeight w:val="728"/>
          <w:jc w:val="center"/>
        </w:trPr>
        <w:tc>
          <w:tcPr>
            <w:tcW w:w="69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51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98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CK short sell</w:t>
            </w:r>
          </w:p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44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CK</w:t>
            </w:r>
          </w:p>
        </w:tc>
        <w:tc>
          <w:tcPr>
            <w:tcW w:w="124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</w:p>
        </w:tc>
      </w:tr>
      <w:tr w:rsidR="00017910" w:rsidTr="00017910">
        <w:trPr>
          <w:trHeight w:val="280"/>
          <w:jc w:val="center"/>
        </w:trPr>
        <w:tc>
          <w:tcPr>
            <w:tcW w:w="69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1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98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4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1245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017910" w:rsidTr="00017910">
        <w:trPr>
          <w:trHeight w:val="280"/>
          <w:jc w:val="center"/>
        </w:trPr>
        <w:tc>
          <w:tcPr>
            <w:tcW w:w="69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98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4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15,000,000</w:t>
            </w:r>
          </w:p>
        </w:tc>
        <w:tc>
          <w:tcPr>
            <w:tcW w:w="1245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26.7%</w:t>
            </w:r>
          </w:p>
        </w:tc>
      </w:tr>
      <w:tr w:rsidR="00017910" w:rsidTr="00017910">
        <w:trPr>
          <w:trHeight w:val="280"/>
          <w:jc w:val="center"/>
        </w:trPr>
        <w:tc>
          <w:tcPr>
            <w:tcW w:w="69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1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98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4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18,000,000</w:t>
            </w:r>
          </w:p>
        </w:tc>
        <w:tc>
          <w:tcPr>
            <w:tcW w:w="1245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22.2%</w:t>
            </w:r>
          </w:p>
        </w:tc>
      </w:tr>
      <w:tr w:rsidR="00017910" w:rsidTr="00017910">
        <w:trPr>
          <w:trHeight w:val="291"/>
          <w:jc w:val="center"/>
        </w:trPr>
        <w:tc>
          <w:tcPr>
            <w:tcW w:w="695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1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21,000</w:t>
            </w:r>
          </w:p>
        </w:tc>
        <w:tc>
          <w:tcPr>
            <w:tcW w:w="1980" w:type="dxa"/>
          </w:tcPr>
          <w:p w:rsidR="00017910" w:rsidRDefault="00017910" w:rsidP="003B2E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440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21,000,000</w:t>
            </w:r>
          </w:p>
        </w:tc>
        <w:tc>
          <w:tcPr>
            <w:tcW w:w="1245" w:type="dxa"/>
          </w:tcPr>
          <w:p w:rsidR="00017910" w:rsidRDefault="00017910" w:rsidP="003B2E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</w:tc>
      </w:tr>
    </w:tbl>
    <w:p w:rsidR="00017910" w:rsidRDefault="00017910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17910" w:rsidRDefault="00017910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3A37" w:rsidRDefault="00BC335C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40%.</w:t>
      </w:r>
      <w:proofErr w:type="gram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18B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8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718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18B6" w:rsidRDefault="000718B6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</w:t>
      </w:r>
      <w:r w:rsidR="00B63A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6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A4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63A4B">
        <w:rPr>
          <w:rFonts w:ascii="Times New Roman" w:hAnsi="Times New Roman" w:cs="Times New Roman"/>
          <w:sz w:val="24"/>
          <w:szCs w:val="24"/>
        </w:rPr>
        <w:t>: 40%*21,000,000 = 8,40</w:t>
      </w:r>
      <w:r>
        <w:rPr>
          <w:rFonts w:ascii="Times New Roman" w:hAnsi="Times New Roman" w:cs="Times New Roman"/>
          <w:sz w:val="24"/>
          <w:szCs w:val="24"/>
        </w:rPr>
        <w:t>0,000 VND</w:t>
      </w:r>
    </w:p>
    <w:p w:rsidR="000718B6" w:rsidRDefault="000718B6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B63A4B">
        <w:rPr>
          <w:rFonts w:ascii="Times New Roman" w:hAnsi="Times New Roman" w:cs="Times New Roman"/>
          <w:sz w:val="24"/>
          <w:szCs w:val="24"/>
        </w:rPr>
        <w:t xml:space="preserve"> sung: 8,400,000 – 4,000,000 = 2,40</w:t>
      </w:r>
      <w:r>
        <w:rPr>
          <w:rFonts w:ascii="Times New Roman" w:hAnsi="Times New Roman" w:cs="Times New Roman"/>
          <w:sz w:val="24"/>
          <w:szCs w:val="24"/>
        </w:rPr>
        <w:t>0,000</w:t>
      </w:r>
    </w:p>
    <w:tbl>
      <w:tblPr>
        <w:tblStyle w:val="TableGrid"/>
        <w:tblW w:w="9326" w:type="dxa"/>
        <w:tblInd w:w="250" w:type="dxa"/>
        <w:tblLook w:val="04A0" w:firstRow="1" w:lastRow="0" w:firstColumn="1" w:lastColumn="0" w:noHBand="0" w:noVBand="1"/>
      </w:tblPr>
      <w:tblGrid>
        <w:gridCol w:w="697"/>
        <w:gridCol w:w="1209"/>
        <w:gridCol w:w="1311"/>
        <w:gridCol w:w="1702"/>
        <w:gridCol w:w="1359"/>
        <w:gridCol w:w="1576"/>
        <w:gridCol w:w="1472"/>
      </w:tblGrid>
      <w:tr w:rsidR="000718B6" w:rsidTr="000718B6">
        <w:trPr>
          <w:trHeight w:val="874"/>
        </w:trPr>
        <w:tc>
          <w:tcPr>
            <w:tcW w:w="697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209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311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sell</w:t>
            </w:r>
          </w:p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</w:t>
            </w:r>
            <w:proofErr w:type="spellEnd"/>
          </w:p>
        </w:tc>
        <w:tc>
          <w:tcPr>
            <w:tcW w:w="1359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</w:t>
            </w:r>
          </w:p>
        </w:tc>
        <w:tc>
          <w:tcPr>
            <w:tcW w:w="1576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khoán</w:t>
            </w:r>
            <w:proofErr w:type="spellEnd"/>
          </w:p>
        </w:tc>
        <w:tc>
          <w:tcPr>
            <w:tcW w:w="1472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quỹ</w:t>
            </w:r>
            <w:proofErr w:type="spellEnd"/>
          </w:p>
        </w:tc>
      </w:tr>
      <w:tr w:rsidR="000718B6" w:rsidTr="000718B6">
        <w:trPr>
          <w:trHeight w:val="483"/>
        </w:trPr>
        <w:tc>
          <w:tcPr>
            <w:tcW w:w="697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9" w:type="dxa"/>
          </w:tcPr>
          <w:p w:rsidR="000718B6" w:rsidRDefault="00B63A4B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</w:t>
            </w:r>
            <w:r w:rsidR="000718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11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02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718B6" w:rsidRDefault="00B63A4B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8,400</w:t>
            </w:r>
            <w:r w:rsidR="000718B6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76" w:type="dxa"/>
          </w:tcPr>
          <w:p w:rsidR="000718B6" w:rsidRDefault="00B63A4B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21,0</w:t>
            </w:r>
            <w:r w:rsidR="000718B6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  <w:tc>
          <w:tcPr>
            <w:tcW w:w="1472" w:type="dxa"/>
          </w:tcPr>
          <w:p w:rsidR="000718B6" w:rsidRDefault="000718B6" w:rsidP="00D06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:rsidR="000718B6" w:rsidRDefault="000718B6" w:rsidP="003C57F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328DC" w:rsidRDefault="002328DC" w:rsidP="00CC7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72ED" w:rsidRDefault="00CC72ED" w:rsidP="00CC7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 w:rsidRPr="009150E3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="00C159CE" w:rsidRPr="00915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59CE" w:rsidRPr="009150E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9CE">
        <w:rPr>
          <w:rFonts w:ascii="Times New Roman" w:hAnsi="Times New Roman" w:cs="Times New Roman"/>
          <w:sz w:val="24"/>
          <w:szCs w:val="24"/>
        </w:rPr>
        <w:t>khoán</w:t>
      </w:r>
      <w:proofErr w:type="spellEnd"/>
      <w:r w:rsidR="00C159CE">
        <w:rPr>
          <w:rFonts w:ascii="Times New Roman" w:hAnsi="Times New Roman" w:cs="Times New Roman"/>
          <w:sz w:val="24"/>
          <w:szCs w:val="24"/>
        </w:rPr>
        <w:t xml:space="preserve"> short sell.</w:t>
      </w:r>
    </w:p>
    <w:p w:rsidR="002328DC" w:rsidRPr="006344D6" w:rsidRDefault="002328DC" w:rsidP="003C57F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7E78" w:rsidRDefault="002328DC" w:rsidP="002328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4D6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6344D6">
        <w:rPr>
          <w:rFonts w:ascii="Times New Roman" w:hAnsi="Times New Roman" w:cs="Times New Roman"/>
          <w:b/>
          <w:sz w:val="24"/>
          <w:szCs w:val="24"/>
        </w:rPr>
        <w:t xml:space="preserve"> short sell.</w:t>
      </w:r>
      <w:r w:rsidR="0075752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5752D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="0075752D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="0075752D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="00757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752D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484DA8">
        <w:rPr>
          <w:rFonts w:ascii="Times New Roman" w:hAnsi="Times New Roman" w:cs="Times New Roman"/>
          <w:b/>
          <w:sz w:val="24"/>
          <w:szCs w:val="24"/>
        </w:rPr>
        <w:t>)</w:t>
      </w:r>
    </w:p>
    <w:p w:rsidR="00047E78" w:rsidRPr="00047E78" w:rsidRDefault="00047E78" w:rsidP="00047E78"/>
    <w:p w:rsidR="00047E78" w:rsidRPr="00047E78" w:rsidRDefault="00047E78" w:rsidP="00047E78">
      <w:bookmarkStart w:id="0" w:name="_GoBack"/>
      <w:bookmarkEnd w:id="0"/>
    </w:p>
    <w:p w:rsidR="00047E78" w:rsidRPr="00047E78" w:rsidRDefault="00047E78" w:rsidP="00047E78"/>
    <w:p w:rsidR="00047E78" w:rsidRPr="00047E78" w:rsidRDefault="00047E78" w:rsidP="00047E78"/>
    <w:p w:rsidR="00047E78" w:rsidRPr="00047E78" w:rsidRDefault="00047E78" w:rsidP="00047E78"/>
    <w:p w:rsidR="00047E78" w:rsidRPr="00047E78" w:rsidRDefault="00047E78" w:rsidP="00047E78"/>
    <w:p w:rsidR="00047E78" w:rsidRPr="00047E78" w:rsidRDefault="00047E78" w:rsidP="00047E78"/>
    <w:p w:rsidR="00047E78" w:rsidRPr="00047E78" w:rsidRDefault="00047E78" w:rsidP="00047E78"/>
    <w:p w:rsidR="00047E78" w:rsidRPr="00047E78" w:rsidRDefault="00047E78" w:rsidP="00047E78"/>
    <w:p w:rsidR="00047E78" w:rsidRDefault="00047E78" w:rsidP="00047E78"/>
    <w:p w:rsidR="002328DC" w:rsidRDefault="002328DC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CC72ED" w:rsidRPr="00047E78" w:rsidRDefault="00CC72ED" w:rsidP="00047E78">
      <w:pPr>
        <w:rPr>
          <w:rFonts w:ascii="Times New Roman" w:hAnsi="Times New Roman" w:cs="Times New Roman"/>
          <w:sz w:val="24"/>
          <w:szCs w:val="24"/>
        </w:rPr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Default="00047E78" w:rsidP="00047E78">
      <w:pPr>
        <w:jc w:val="right"/>
      </w:pPr>
    </w:p>
    <w:p w:rsidR="00047E78" w:rsidRPr="00047E78" w:rsidRDefault="00047E78" w:rsidP="00047E78">
      <w:pPr>
        <w:jc w:val="right"/>
      </w:pPr>
    </w:p>
    <w:sectPr w:rsidR="00047E78" w:rsidRPr="00047E78" w:rsidSect="008B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962AC"/>
    <w:multiLevelType w:val="hybridMultilevel"/>
    <w:tmpl w:val="FFE48966"/>
    <w:lvl w:ilvl="0" w:tplc="9B7C8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B319EA"/>
    <w:multiLevelType w:val="hybridMultilevel"/>
    <w:tmpl w:val="D37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E54FA"/>
    <w:multiLevelType w:val="hybridMultilevel"/>
    <w:tmpl w:val="63E48FB2"/>
    <w:lvl w:ilvl="0" w:tplc="5DE4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D4262B"/>
    <w:multiLevelType w:val="hybridMultilevel"/>
    <w:tmpl w:val="2346AB5A"/>
    <w:lvl w:ilvl="0" w:tplc="3FD2CF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B2F9B"/>
    <w:multiLevelType w:val="hybridMultilevel"/>
    <w:tmpl w:val="6524935A"/>
    <w:lvl w:ilvl="0" w:tplc="982AE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6245"/>
    <w:rsid w:val="00017910"/>
    <w:rsid w:val="00047E78"/>
    <w:rsid w:val="000718B6"/>
    <w:rsid w:val="000E46EA"/>
    <w:rsid w:val="00125A07"/>
    <w:rsid w:val="00175CEE"/>
    <w:rsid w:val="00213B6D"/>
    <w:rsid w:val="00220678"/>
    <w:rsid w:val="002328DC"/>
    <w:rsid w:val="00283B54"/>
    <w:rsid w:val="003146AF"/>
    <w:rsid w:val="003C57F6"/>
    <w:rsid w:val="00461460"/>
    <w:rsid w:val="00484DA8"/>
    <w:rsid w:val="004F1BB9"/>
    <w:rsid w:val="004F73F1"/>
    <w:rsid w:val="005B25D1"/>
    <w:rsid w:val="006344D6"/>
    <w:rsid w:val="00693A37"/>
    <w:rsid w:val="0075752D"/>
    <w:rsid w:val="007724FA"/>
    <w:rsid w:val="00783576"/>
    <w:rsid w:val="008302DC"/>
    <w:rsid w:val="00845638"/>
    <w:rsid w:val="008B2440"/>
    <w:rsid w:val="009150E3"/>
    <w:rsid w:val="00927BB6"/>
    <w:rsid w:val="00B26245"/>
    <w:rsid w:val="00B63A4B"/>
    <w:rsid w:val="00B7209A"/>
    <w:rsid w:val="00B80076"/>
    <w:rsid w:val="00BC335C"/>
    <w:rsid w:val="00C00831"/>
    <w:rsid w:val="00C159CE"/>
    <w:rsid w:val="00C6131C"/>
    <w:rsid w:val="00C96A93"/>
    <w:rsid w:val="00CC148D"/>
    <w:rsid w:val="00CC72ED"/>
    <w:rsid w:val="00D46C25"/>
    <w:rsid w:val="00D63AFA"/>
    <w:rsid w:val="00D803C0"/>
    <w:rsid w:val="00E551B5"/>
    <w:rsid w:val="00EB0DE8"/>
    <w:rsid w:val="00F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45"/>
    <w:pPr>
      <w:ind w:left="720"/>
      <w:contextualSpacing/>
    </w:pPr>
  </w:style>
  <w:style w:type="table" w:styleId="TableGrid">
    <w:name w:val="Table Grid"/>
    <w:basedOn w:val="TableNormal"/>
    <w:uiPriority w:val="59"/>
    <w:rsid w:val="00213B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581D7-5619-4467-8736-DF4EEB08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Oanh Tran</cp:lastModifiedBy>
  <cp:revision>19</cp:revision>
  <dcterms:created xsi:type="dcterms:W3CDTF">2012-09-25T14:21:00Z</dcterms:created>
  <dcterms:modified xsi:type="dcterms:W3CDTF">2014-04-05T05:00:00Z</dcterms:modified>
</cp:coreProperties>
</file>