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Note"/>
      </w:pPr>
      <w:r>
        <w:t>PROJECT DESIGN SPECIFICATION</w:t>
      </w:r>
    </w:p>
    <w:p>
      <w:pPr>
        <w:pStyle w:val="Title"/>
      </w:pPr>
      <w:r>
        <w:t>Education AI Workflow</w:t>
      </w:r>
    </w:p>
    <w:p>
      <w:pPr>
        <w:pStyle w:val="Subtitle"/>
      </w:pPr>
      <w:r>
        <w:t>Python + Rust  |  Automation-first  |  Human-in-the-loop</w:t>
      </w:r>
    </w:p>
    <w:p>
      <w:r>
        <w:t>Thiết kế triển khai thay thế cách phụ thuộc Power Automate. Mục tiêu: giảm thao tác thủ công; kiểm tra, nhắc việc và cảnh báo tự động; chỉ yêu cầu con người khi cần xác minh, phê duyệt hoặc xử lý ngoại lệ.</w:t>
      </w:r>
    </w:p>
    <w:p>
      <w:pPr>
        <w:pStyle w:val="Heading1"/>
      </w:pPr>
      <w:r>
        <w:t>1. Phạm vi và nguyên tắc</w:t>
      </w:r>
    </w:p>
    <w:p>
      <w:pPr>
        <w:pStyle w:val="ListBullet"/>
      </w:pPr>
      <w:r>
        <w:t>Python điều phối: thu thập dữ liệu, đọc DOCX/EML/Outlook Classic (tùy quyền), lưu SQLite, lịch chạy, gửi thông báo, audit.</w:t>
      </w:r>
    </w:p>
    <w:p>
      <w:pPr>
        <w:pStyle w:val="ListBullet"/>
      </w:pPr>
      <w:r>
        <w:t>Rust xử lý chính sách: quy tắc deadline, đủ căn cứ, trạng thái chờ phê duyệt; không truy cập dữ liệu thô hay mạng.</w:t>
      </w:r>
    </w:p>
    <w:p>
      <w:pPr>
        <w:pStyle w:val="ListBullet"/>
      </w:pPr>
      <w:r>
        <w:t>AI là module tùy chọn: không tự động gửi hồ sơ nhân sự/học sinh tới dịch vụ cloud. Chỉ kết nối nguồn và mô hình đã được tổ chức cho phép.</w:t>
      </w:r>
    </w:p>
    <w:p>
      <w:pPr>
        <w:pStyle w:val="ListBullet"/>
      </w:pPr>
      <w:r>
        <w:t>Con người xác nhận ngày hạn không rõ, căn cứ không đủ, quyết định nhân sự, gửi chính thức, phê duyệt hồ sơ; các bước còn lại tự động hóa theo luật.</w:t>
      </w:r>
    </w:p>
    <w:p>
      <w:pPr>
        <w:pStyle w:val="Heading1"/>
      </w:pPr>
      <w:r>
        <w:t>2. Điều kiện triển khai</w:t>
      </w:r>
    </w:p>
    <w:tbl>
      <w:tblPr>
        <w:tblStyle w:val="LightShading-Accent1"/>
        <w:tblW w:type="auto" w:w="0"/>
        <w:jc w:val="center"/>
        <w:tblLook w:firstColumn="1" w:firstRow="1" w:lastColumn="0" w:lastRow="0" w:noHBand="0" w:noVBand="1" w:val="04A0"/>
      </w:tblPr>
      <w:tblGrid>
        <w:gridCol w:w="5011"/>
        <w:gridCol w:w="5011"/>
      </w:tblGrid>
      <w:tr>
        <w:tc>
          <w:tcPr>
            <w:tcW w:type="dxa" w:w="2304"/>
            <w:vAlign w:val="center"/>
          </w:tcPr>
          <w:p>
            <w:pPr>
              <w:spacing w:after="40"/>
            </w:pPr>
            <w:r>
              <w:rPr>
                <w:b/>
                <w:sz w:val="16"/>
              </w:rPr>
              <w:t>Điều kiện</w:t>
            </w:r>
          </w:p>
        </w:tc>
        <w:tc>
          <w:tcPr>
            <w:tcW w:type="dxa" w:w="7128"/>
            <w:vAlign w:val="center"/>
          </w:tcPr>
          <w:p>
            <w:pPr>
              <w:spacing w:after="40"/>
            </w:pPr>
            <w:r>
              <w:rPr>
                <w:b/>
                <w:sz w:val="16"/>
              </w:rPr>
              <w:t>Thiết kế</w:t>
            </w:r>
          </w:p>
        </w:tc>
      </w:tr>
      <w:tr>
        <w:tc>
          <w:tcPr>
            <w:tcW w:type="dxa" w:w="2304"/>
            <w:vAlign w:val="center"/>
          </w:tcPr>
          <w:p>
            <w:pPr>
              <w:spacing w:after="40"/>
            </w:pPr>
            <w:r>
              <w:rPr>
                <w:sz w:val="16"/>
              </w:rPr>
              <w:t>OS / runtime</w:t>
            </w:r>
          </w:p>
        </w:tc>
        <w:tc>
          <w:tcPr>
            <w:tcW w:type="dxa" w:w="7128"/>
            <w:vAlign w:val="center"/>
          </w:tcPr>
          <w:p>
            <w:pPr>
              <w:spacing w:after="40"/>
            </w:pPr>
            <w:r>
              <w:rPr>
                <w:sz w:val="16"/>
              </w:rPr>
              <w:t>Windows 10/11, Python 3.11+, Rust/Cargo đã được IT cho phép</w:t>
            </w:r>
          </w:p>
        </w:tc>
      </w:tr>
      <w:tr>
        <w:tc>
          <w:tcPr>
            <w:tcW w:type="dxa" w:w="2304"/>
            <w:vAlign w:val="center"/>
          </w:tcPr>
          <w:p>
            <w:pPr>
              <w:spacing w:after="40"/>
            </w:pPr>
            <w:r>
              <w:rPr>
                <w:sz w:val="16"/>
              </w:rPr>
              <w:t>Không có admin</w:t>
            </w:r>
          </w:p>
        </w:tc>
        <w:tc>
          <w:tcPr>
            <w:tcW w:type="dxa" w:w="7128"/>
            <w:vAlign w:val="center"/>
          </w:tcPr>
          <w:p>
            <w:pPr>
              <w:spacing w:after="40"/>
            </w:pPr>
            <w:r>
              <w:rPr>
                <w:sz w:val="16"/>
              </w:rPr>
              <w:t>Chạy user-space, Task Scheduler; phải kiểm tra policy của IT</w:t>
            </w:r>
          </w:p>
        </w:tc>
      </w:tr>
      <w:tr>
        <w:tc>
          <w:tcPr>
            <w:tcW w:type="dxa" w:w="2304"/>
            <w:vAlign w:val="center"/>
          </w:tcPr>
          <w:p>
            <w:pPr>
              <w:spacing w:after="40"/>
            </w:pPr>
            <w:r>
              <w:rPr>
                <w:sz w:val="16"/>
              </w:rPr>
              <w:t>Outlook Classic</w:t>
            </w:r>
          </w:p>
        </w:tc>
        <w:tc>
          <w:tcPr>
            <w:tcW w:type="dxa" w:w="7128"/>
            <w:vAlign w:val="center"/>
          </w:tcPr>
          <w:p>
            <w:pPr>
              <w:spacing w:after="40"/>
            </w:pPr>
            <w:r>
              <w:rPr>
                <w:sz w:val="16"/>
              </w:rPr>
              <w:t>Adapter Python COM đọc-only, cần pywin32 và Outlook đang đăng nhập</w:t>
            </w:r>
          </w:p>
        </w:tc>
      </w:tr>
      <w:tr>
        <w:tc>
          <w:tcPr>
            <w:tcW w:type="dxa" w:w="2304"/>
            <w:vAlign w:val="center"/>
          </w:tcPr>
          <w:p>
            <w:pPr>
              <w:spacing w:after="40"/>
            </w:pPr>
            <w:r>
              <w:rPr>
                <w:sz w:val="16"/>
              </w:rPr>
              <w:t>New Outlook</w:t>
            </w:r>
          </w:p>
        </w:tc>
        <w:tc>
          <w:tcPr>
            <w:tcW w:type="dxa" w:w="7128"/>
            <w:vAlign w:val="center"/>
          </w:tcPr>
          <w:p>
            <w:pPr>
              <w:spacing w:after="40"/>
            </w:pPr>
            <w:r>
              <w:rPr>
                <w:sz w:val="16"/>
              </w:rPr>
              <w:t>Không dùng COM; cần Microsoft Graph delegated OAuth và consent</w:t>
            </w:r>
          </w:p>
        </w:tc>
      </w:tr>
      <w:tr>
        <w:tc>
          <w:tcPr>
            <w:tcW w:type="dxa" w:w="2304"/>
            <w:vAlign w:val="center"/>
          </w:tcPr>
          <w:p>
            <w:pPr>
              <w:spacing w:after="40"/>
            </w:pPr>
            <w:r>
              <w:rPr>
                <w:sz w:val="16"/>
              </w:rPr>
              <w:t>Gửi cảnh báo</w:t>
            </w:r>
          </w:p>
        </w:tc>
        <w:tc>
          <w:tcPr>
            <w:tcW w:type="dxa" w:w="7128"/>
            <w:vAlign w:val="center"/>
          </w:tcPr>
          <w:p>
            <w:pPr>
              <w:spacing w:after="40"/>
            </w:pPr>
            <w:r>
              <w:rPr>
                <w:sz w:val="16"/>
              </w:rPr>
              <w:t>Local spool (bản thử) hoặc SMTP TLS cho người nhận cho phép</w:t>
            </w:r>
          </w:p>
        </w:tc>
      </w:tr>
      <w:tr>
        <w:tc>
          <w:tcPr>
            <w:tcW w:type="dxa" w:w="2304"/>
            <w:vAlign w:val="center"/>
          </w:tcPr>
          <w:p>
            <w:pPr>
              <w:spacing w:after="40"/>
            </w:pPr>
            <w:r>
              <w:rPr>
                <w:sz w:val="16"/>
              </w:rPr>
              <w:t>Dữ liệu thật</w:t>
            </w:r>
          </w:p>
        </w:tc>
        <w:tc>
          <w:tcPr>
            <w:tcW w:type="dxa" w:w="7128"/>
            <w:vAlign w:val="center"/>
          </w:tcPr>
          <w:p>
            <w:pPr>
              <w:spacing w:after="40"/>
            </w:pPr>
            <w:r>
              <w:rPr>
                <w:sz w:val="16"/>
              </w:rPr>
              <w:t>Chỉ sau khi phê duyệt bảo mật, quyền truy cập, lưu giữ và RBAC</w:t>
            </w:r>
          </w:p>
        </w:tc>
      </w:tr>
    </w:tbl>
    <w:p/>
    <w:p>
      <w:pPr>
        <w:pStyle w:val="SmallNote"/>
      </w:pPr>
      <w:r>
        <w:t>TRẠNG THÁI: Bản Python chạy thử đã PASS; Rust chưa biên dịch trong môi trường tạo tài liệu. Chưa tích hợp Outlook của khách hàng.</w:t>
      </w:r>
    </w:p>
    <w:p>
      <w:r>
        <w:br w:type="page"/>
      </w:r>
    </w:p>
    <w:p>
      <w:pPr>
        <w:pStyle w:val="Heading1"/>
      </w:pPr>
      <w:r>
        <w:t>3. Kiến trúc module</w:t>
      </w:r>
    </w:p>
    <w:tbl>
      <w:tblPr>
        <w:tblStyle w:val="LightShading-Accent1"/>
        <w:tblW w:type="auto" w:w="0"/>
        <w:jc w:val="center"/>
        <w:tblLook w:firstColumn="1" w:firstRow="1" w:lastColumn="0" w:lastRow="0" w:noHBand="0" w:noVBand="1" w:val="04A0"/>
      </w:tblPr>
      <w:tblGrid>
        <w:gridCol w:w="3341"/>
        <w:gridCol w:w="3341"/>
        <w:gridCol w:w="3341"/>
      </w:tblGrid>
      <w:tr>
        <w:tc>
          <w:tcPr>
            <w:tcW w:type="dxa" w:w="1728"/>
            <w:vAlign w:val="center"/>
          </w:tcPr>
          <w:p>
            <w:pPr>
              <w:spacing w:after="40"/>
            </w:pPr>
            <w:r>
              <w:rPr>
                <w:b/>
                <w:sz w:val="16"/>
              </w:rPr>
              <w:t>Tầng</w:t>
            </w:r>
          </w:p>
        </w:tc>
        <w:tc>
          <w:tcPr>
            <w:tcW w:type="dxa" w:w="4464"/>
            <w:vAlign w:val="center"/>
          </w:tcPr>
          <w:p>
            <w:pPr>
              <w:spacing w:after="40"/>
            </w:pPr>
            <w:r>
              <w:rPr>
                <w:b/>
                <w:sz w:val="16"/>
              </w:rPr>
              <w:t>Trách nhiệm</w:t>
            </w:r>
          </w:p>
        </w:tc>
        <w:tc>
          <w:tcPr>
            <w:tcW w:type="dxa" w:w="3240"/>
            <w:vAlign w:val="center"/>
          </w:tcPr>
          <w:p>
            <w:pPr>
              <w:spacing w:after="40"/>
            </w:pPr>
            <w:r>
              <w:rPr>
                <w:b/>
                <w:sz w:val="16"/>
              </w:rPr>
              <w:t>Thành phần</w:t>
            </w:r>
          </w:p>
        </w:tc>
      </w:tr>
      <w:tr>
        <w:tc>
          <w:tcPr>
            <w:tcW w:type="dxa" w:w="1728"/>
            <w:vAlign w:val="center"/>
          </w:tcPr>
          <w:p>
            <w:pPr>
              <w:spacing w:after="40"/>
            </w:pPr>
            <w:r>
              <w:rPr>
                <w:sz w:val="16"/>
              </w:rPr>
              <w:t>Nguồn</w:t>
            </w:r>
          </w:p>
        </w:tc>
        <w:tc>
          <w:tcPr>
            <w:tcW w:type="dxa" w:w="4464"/>
            <w:vAlign w:val="center"/>
          </w:tcPr>
          <w:p>
            <w:pPr>
              <w:spacing w:after="40"/>
            </w:pPr>
            <w:r>
              <w:rPr>
                <w:sz w:val="16"/>
              </w:rPr>
              <w:t>Outlook, EML, Word, Excel và tài liệu</w:t>
            </w:r>
          </w:p>
        </w:tc>
        <w:tc>
          <w:tcPr>
            <w:tcW w:type="dxa" w:w="3240"/>
            <w:vAlign w:val="center"/>
          </w:tcPr>
          <w:p>
            <w:pPr>
              <w:spacing w:after="40"/>
            </w:pPr>
            <w:r>
              <w:rPr>
                <w:sz w:val="16"/>
              </w:rPr>
              <w:t>Outlook COM tùy chọn; EML/JSON, DOCX local</w:t>
            </w:r>
          </w:p>
        </w:tc>
      </w:tr>
      <w:tr>
        <w:tc>
          <w:tcPr>
            <w:tcW w:type="dxa" w:w="1728"/>
            <w:vAlign w:val="center"/>
          </w:tcPr>
          <w:p>
            <w:pPr>
              <w:spacing w:after="40"/>
            </w:pPr>
            <w:r>
              <w:rPr>
                <w:sz w:val="16"/>
              </w:rPr>
              <w:t>Thu thập</w:t>
            </w:r>
          </w:p>
        </w:tc>
        <w:tc>
          <w:tcPr>
            <w:tcW w:type="dxa" w:w="4464"/>
            <w:vAlign w:val="center"/>
          </w:tcPr>
          <w:p>
            <w:pPr>
              <w:spacing w:after="40"/>
            </w:pPr>
            <w:r>
              <w:rPr>
                <w:sz w:val="16"/>
              </w:rPr>
              <w:t>Ẩn thông tin nhạy cảm, chuẩn hóa dữ liệu</w:t>
            </w:r>
          </w:p>
        </w:tc>
        <w:tc>
          <w:tcPr>
            <w:tcW w:type="dxa" w:w="3240"/>
            <w:vAlign w:val="center"/>
          </w:tcPr>
          <w:p>
            <w:pPr>
              <w:spacing w:after="40"/>
            </w:pPr>
            <w:r>
              <w:rPr>
                <w:sz w:val="16"/>
              </w:rPr>
              <w:t>Python intake adapter</w:t>
            </w:r>
          </w:p>
        </w:tc>
      </w:tr>
      <w:tr>
        <w:tc>
          <w:tcPr>
            <w:tcW w:type="dxa" w:w="1728"/>
            <w:vAlign w:val="center"/>
          </w:tcPr>
          <w:p>
            <w:pPr>
              <w:spacing w:after="40"/>
            </w:pPr>
            <w:r>
              <w:rPr>
                <w:sz w:val="16"/>
              </w:rPr>
              <w:t>Orchestrator</w:t>
            </w:r>
          </w:p>
        </w:tc>
        <w:tc>
          <w:tcPr>
            <w:tcW w:type="dxa" w:w="4464"/>
            <w:vAlign w:val="center"/>
          </w:tcPr>
          <w:p>
            <w:pPr>
              <w:spacing w:after="40"/>
            </w:pPr>
            <w:r>
              <w:rPr>
                <w:sz w:val="16"/>
              </w:rPr>
              <w:t>Quản lý chu kỳ, điều phối nghiệp vụ</w:t>
            </w:r>
          </w:p>
        </w:tc>
        <w:tc>
          <w:tcPr>
            <w:tcW w:type="dxa" w:w="3240"/>
            <w:vAlign w:val="center"/>
          </w:tcPr>
          <w:p>
            <w:pPr>
              <w:spacing w:after="40"/>
            </w:pPr>
            <w:r>
              <w:rPr>
                <w:sz w:val="16"/>
              </w:rPr>
              <w:t>Python CLI + Task Scheduler</w:t>
            </w:r>
          </w:p>
        </w:tc>
      </w:tr>
      <w:tr>
        <w:tc>
          <w:tcPr>
            <w:tcW w:type="dxa" w:w="1728"/>
            <w:vAlign w:val="center"/>
          </w:tcPr>
          <w:p>
            <w:pPr>
              <w:spacing w:after="40"/>
            </w:pPr>
            <w:r>
              <w:rPr>
                <w:sz w:val="16"/>
              </w:rPr>
              <w:t>Policy</w:t>
            </w:r>
          </w:p>
        </w:tc>
        <w:tc>
          <w:tcPr>
            <w:tcW w:type="dxa" w:w="4464"/>
            <w:vAlign w:val="center"/>
          </w:tcPr>
          <w:p>
            <w:pPr>
              <w:spacing w:after="40"/>
            </w:pPr>
            <w:r>
              <w:rPr>
                <w:sz w:val="16"/>
              </w:rPr>
              <w:t>Quy tắc sự kiện thuần xác định</w:t>
            </w:r>
          </w:p>
        </w:tc>
        <w:tc>
          <w:tcPr>
            <w:tcW w:type="dxa" w:w="3240"/>
            <w:vAlign w:val="center"/>
          </w:tcPr>
          <w:p>
            <w:pPr>
              <w:spacing w:after="40"/>
            </w:pPr>
            <w:r>
              <w:rPr>
                <w:sz w:val="16"/>
              </w:rPr>
              <w:t>Rust edu_rules binary</w:t>
            </w:r>
          </w:p>
        </w:tc>
      </w:tr>
      <w:tr>
        <w:tc>
          <w:tcPr>
            <w:tcW w:type="dxa" w:w="1728"/>
            <w:vAlign w:val="center"/>
          </w:tcPr>
          <w:p>
            <w:pPr>
              <w:spacing w:after="40"/>
            </w:pPr>
            <w:r>
              <w:rPr>
                <w:sz w:val="16"/>
              </w:rPr>
              <w:t>State</w:t>
            </w:r>
          </w:p>
        </w:tc>
        <w:tc>
          <w:tcPr>
            <w:tcW w:type="dxa" w:w="4464"/>
            <w:vAlign w:val="center"/>
          </w:tcPr>
          <w:p>
            <w:pPr>
              <w:spacing w:after="40"/>
            </w:pPr>
            <w:r>
              <w:rPr>
                <w:sz w:val="16"/>
              </w:rPr>
              <w:t>Lưu phiên bản hồ sơ và bằng chứng</w:t>
            </w:r>
          </w:p>
        </w:tc>
        <w:tc>
          <w:tcPr>
            <w:tcW w:type="dxa" w:w="3240"/>
            <w:vAlign w:val="center"/>
          </w:tcPr>
          <w:p>
            <w:pPr>
              <w:spacing w:after="40"/>
            </w:pPr>
            <w:r>
              <w:rPr>
                <w:sz w:val="16"/>
              </w:rPr>
              <w:t>SQLite cases / audit / decisions</w:t>
            </w:r>
          </w:p>
        </w:tc>
      </w:tr>
      <w:tr>
        <w:tc>
          <w:tcPr>
            <w:tcW w:type="dxa" w:w="1728"/>
            <w:vAlign w:val="center"/>
          </w:tcPr>
          <w:p>
            <w:pPr>
              <w:spacing w:after="40"/>
            </w:pPr>
            <w:r>
              <w:rPr>
                <w:sz w:val="16"/>
              </w:rPr>
              <w:t>Alert</w:t>
            </w:r>
          </w:p>
        </w:tc>
        <w:tc>
          <w:tcPr>
            <w:tcW w:type="dxa" w:w="4464"/>
            <w:vAlign w:val="center"/>
          </w:tcPr>
          <w:p>
            <w:pPr>
              <w:spacing w:after="40"/>
            </w:pPr>
            <w:r>
              <w:rPr>
                <w:sz w:val="16"/>
              </w:rPr>
              <w:t>Đệm thông báo, tránh trùng, lỗi gửi</w:t>
            </w:r>
          </w:p>
        </w:tc>
        <w:tc>
          <w:tcPr>
            <w:tcW w:type="dxa" w:w="3240"/>
            <w:vAlign w:val="center"/>
          </w:tcPr>
          <w:p>
            <w:pPr>
              <w:spacing w:after="40"/>
            </w:pPr>
            <w:r>
              <w:rPr>
                <w:sz w:val="16"/>
              </w:rPr>
              <w:t>SQLite outbox; SMTP/file dispatch</w:t>
            </w:r>
          </w:p>
        </w:tc>
      </w:tr>
      <w:tr>
        <w:tc>
          <w:tcPr>
            <w:tcW w:type="dxa" w:w="1728"/>
            <w:vAlign w:val="center"/>
          </w:tcPr>
          <w:p>
            <w:pPr>
              <w:spacing w:after="40"/>
            </w:pPr>
            <w:r>
              <w:rPr>
                <w:sz w:val="16"/>
              </w:rPr>
              <w:t>Approval</w:t>
            </w:r>
          </w:p>
        </w:tc>
        <w:tc>
          <w:tcPr>
            <w:tcW w:type="dxa" w:w="4464"/>
            <w:vAlign w:val="center"/>
          </w:tcPr>
          <w:p>
            <w:pPr>
              <w:spacing w:after="40"/>
            </w:pPr>
            <w:r>
              <w:rPr>
                <w:sz w:val="16"/>
              </w:rPr>
              <w:t>Chỉ con người được phê duyệt</w:t>
            </w:r>
          </w:p>
        </w:tc>
        <w:tc>
          <w:tcPr>
            <w:tcW w:type="dxa" w:w="3240"/>
            <w:vAlign w:val="center"/>
          </w:tcPr>
          <w:p>
            <w:pPr>
              <w:spacing w:after="40"/>
            </w:pPr>
            <w:r>
              <w:rPr>
                <w:sz w:val="16"/>
              </w:rPr>
              <w:t>Local CLI hiện tại; SSO sản xuất sau</w:t>
            </w:r>
          </w:p>
        </w:tc>
      </w:tr>
      <w:tr>
        <w:tc>
          <w:tcPr>
            <w:tcW w:type="dxa" w:w="1728"/>
            <w:vAlign w:val="center"/>
          </w:tcPr>
          <w:p>
            <w:pPr>
              <w:spacing w:after="40"/>
            </w:pPr>
            <w:r>
              <w:rPr>
                <w:sz w:val="16"/>
              </w:rPr>
              <w:t>AI review</w:t>
            </w:r>
          </w:p>
        </w:tc>
        <w:tc>
          <w:tcPr>
            <w:tcW w:type="dxa" w:w="4464"/>
            <w:vAlign w:val="center"/>
          </w:tcPr>
          <w:p>
            <w:pPr>
              <w:spacing w:after="40"/>
            </w:pPr>
            <w:r>
              <w:rPr>
                <w:sz w:val="16"/>
              </w:rPr>
              <w:t>Dự thảo trích xuất / ngôn ngữ</w:t>
            </w:r>
          </w:p>
        </w:tc>
        <w:tc>
          <w:tcPr>
            <w:tcW w:type="dxa" w:w="3240"/>
            <w:vAlign w:val="center"/>
          </w:tcPr>
          <w:p>
            <w:pPr>
              <w:spacing w:after="40"/>
            </w:pPr>
            <w:r>
              <w:rPr>
                <w:sz w:val="16"/>
              </w:rPr>
              <w:t>CHƯA TRIỂN KHAI; module tương lai</w:t>
            </w:r>
          </w:p>
        </w:tc>
      </w:tr>
    </w:tbl>
    <w:p/>
    <w:p>
      <w:pPr>
        <w:pStyle w:val="Heading1"/>
      </w:pPr>
      <w:r>
        <w:t>4. Luồng chạy mỗi chu kỳ</w:t>
      </w:r>
    </w:p>
    <w:p>
      <w:pPr>
        <w:pStyle w:val="ListBullet"/>
      </w:pPr>
      <w:r>
        <w:t>01  Đọc dữ liệu mới qua adapter được cho phép → kiểm tra phân loại.</w:t>
      </w:r>
    </w:p>
    <w:p>
      <w:pPr>
        <w:pStyle w:val="ListBullet"/>
      </w:pPr>
      <w:r>
        <w:t>02  Upsert theo định danh nguồn. Không được ghi đè quyết định của con người.</w:t>
      </w:r>
    </w:p>
    <w:p>
      <w:pPr>
        <w:pStyle w:val="ListBullet"/>
      </w:pPr>
      <w:r>
        <w:t>03  Python chuẩn hóa thời gian JST, cờ đã xác minh, tình trạng hồ sơ.</w:t>
      </w:r>
    </w:p>
    <w:p>
      <w:pPr>
        <w:pStyle w:val="ListBullet"/>
      </w:pPr>
      <w:r>
        <w:t>04  Gửi CASE records sang tiến trình Rust qua stdin; nhận EVENT records từ stdout.</w:t>
      </w:r>
    </w:p>
    <w:p>
      <w:pPr>
        <w:pStyle w:val="ListBullet"/>
      </w:pPr>
      <w:r>
        <w:t>05  Ghi thông báo idempotent vào SQLite; ẩn nhãn CONFIDENTIAL / RESTRICTED.</w:t>
      </w:r>
    </w:p>
    <w:p>
      <w:pPr>
        <w:pStyle w:val="ListBullet"/>
      </w:pPr>
      <w:r>
        <w:t>06  Gửi bản tin qua kênh đã cấu hình; lỗi SMTP bất định → UNKNOWN, không thử lại mù.</w:t>
      </w:r>
    </w:p>
    <w:p>
      <w:pPr>
        <w:pStyle w:val="ListBullet"/>
      </w:pPr>
      <w:r>
        <w:t>07  Nếu cần quyết định, đưa hồ sơ vào hàng chờ; xác thực và ghi audit phê duyệt.</w:t>
      </w:r>
    </w:p>
    <w:p>
      <w:pPr>
        <w:pStyle w:val="ListBullet"/>
      </w:pPr>
      <w:r>
        <w:t>08  Nếu được phê duyệt, trạng thái thay đổi; thực thi gửi mail / nộp hồ sơ vẫn là phase riêng sau nghiệm thu.</w:t>
      </w:r>
    </w:p>
    <w:p>
      <w:pPr>
        <w:pStyle w:val="Heading1"/>
      </w:pPr>
      <w:r>
        <w:t>5. Giao tiếp Python ↔ Rust</w:t>
      </w:r>
    </w:p>
    <w:p>
      <w:r>
        <w:t>Giao thức line/tab nội bộ, ID hồ sơ hex UTF-8 để tránh lỗi ký tự. Rust không được phép tự ghi DB hoặc truy cập dịch vụ ngoài.</w:t>
      </w:r>
    </w:p>
    <w:p>
      <w:pPr>
        <w:pStyle w:val="SmallNote"/>
      </w:pPr>
      <w:r>
        <w:t>CASE    hex_id    kind    class    status    days    due_state    expired    evidence    approval</w:t>
      </w:r>
    </w:p>
    <w:p>
      <w:pPr>
        <w:pStyle w:val="SmallNote"/>
      </w:pPr>
      <w:r>
        <w:t>EVENT    hex_id    rule_code    severity</w:t>
      </w:r>
    </w:p>
    <w:p>
      <w:pPr>
        <w:pStyle w:val="SmallNote"/>
      </w:pPr>
      <w:r>
        <w:t>Không có Rust binary hoặc engine lỗi: quá trình tick dừng và báo lỗi; không tự động âm thầm chuyển sang Python.</w:t>
      </w:r>
    </w:p>
    <w:p>
      <w:r>
        <w:br w:type="page"/>
      </w:r>
    </w:p>
    <w:p>
      <w:pPr>
        <w:pStyle w:val="Heading1"/>
      </w:pPr>
      <w:r>
        <w:t>6. Các workflow nghiệp vụ</w:t>
      </w:r>
    </w:p>
    <w:tbl>
      <w:tblPr>
        <w:tblStyle w:val="LightShading-Accent1"/>
        <w:tblW w:type="auto" w:w="0"/>
        <w:jc w:val="center"/>
        <w:tblLook w:firstColumn="1" w:firstRow="1" w:lastColumn="0" w:lastRow="0" w:noHBand="0" w:noVBand="1" w:val="04A0"/>
      </w:tblPr>
      <w:tblGrid>
        <w:gridCol w:w="2505"/>
        <w:gridCol w:w="2505"/>
        <w:gridCol w:w="2505"/>
        <w:gridCol w:w="2505"/>
      </w:tblGrid>
      <w:tr>
        <w:tc>
          <w:tcPr>
            <w:tcW w:type="dxa" w:w="1037"/>
            <w:vAlign w:val="center"/>
          </w:tcPr>
          <w:p>
            <w:pPr>
              <w:spacing w:after="40"/>
            </w:pPr>
            <w:r>
              <w:rPr>
                <w:b/>
                <w:sz w:val="16"/>
              </w:rPr>
              <w:t>ID</w:t>
            </w:r>
          </w:p>
        </w:tc>
        <w:tc>
          <w:tcPr>
            <w:tcW w:type="dxa" w:w="1872"/>
            <w:vAlign w:val="center"/>
          </w:tcPr>
          <w:p>
            <w:pPr>
              <w:spacing w:after="40"/>
            </w:pPr>
            <w:r>
              <w:rPr>
                <w:b/>
                <w:sz w:val="16"/>
              </w:rPr>
              <w:t>Mục tiêu</w:t>
            </w:r>
          </w:p>
        </w:tc>
        <w:tc>
          <w:tcPr>
            <w:tcW w:type="dxa" w:w="3456"/>
            <w:vAlign w:val="center"/>
          </w:tcPr>
          <w:p>
            <w:pPr>
              <w:spacing w:after="40"/>
            </w:pPr>
            <w:r>
              <w:rPr>
                <w:b/>
                <w:sz w:val="16"/>
              </w:rPr>
              <w:t>Tự động</w:t>
            </w:r>
          </w:p>
        </w:tc>
        <w:tc>
          <w:tcPr>
            <w:tcW w:type="dxa" w:w="3067"/>
            <w:vAlign w:val="center"/>
          </w:tcPr>
          <w:p>
            <w:pPr>
              <w:spacing w:after="40"/>
            </w:pPr>
            <w:r>
              <w:rPr>
                <w:b/>
                <w:sz w:val="16"/>
              </w:rPr>
              <w:t>Con người</w:t>
            </w:r>
          </w:p>
        </w:tc>
      </w:tr>
      <w:tr>
        <w:tc>
          <w:tcPr>
            <w:tcW w:type="dxa" w:w="1037"/>
            <w:vAlign w:val="center"/>
          </w:tcPr>
          <w:p>
            <w:pPr>
              <w:spacing w:after="40"/>
            </w:pPr>
            <w:r>
              <w:rPr>
                <w:sz w:val="16"/>
              </w:rPr>
              <w:t>WF-01</w:t>
            </w:r>
          </w:p>
        </w:tc>
        <w:tc>
          <w:tcPr>
            <w:tcW w:type="dxa" w:w="1872"/>
            <w:vAlign w:val="center"/>
          </w:tcPr>
          <w:p>
            <w:pPr>
              <w:spacing w:after="40"/>
            </w:pPr>
            <w:r>
              <w:rPr>
                <w:sz w:val="16"/>
              </w:rPr>
              <w:t>Email intake</w:t>
            </w:r>
          </w:p>
        </w:tc>
        <w:tc>
          <w:tcPr>
            <w:tcW w:type="dxa" w:w="3456"/>
            <w:vAlign w:val="center"/>
          </w:tcPr>
          <w:p>
            <w:pPr>
              <w:spacing w:after="40"/>
            </w:pPr>
            <w:r>
              <w:rPr>
                <w:sz w:val="16"/>
              </w:rPr>
              <w:t>Thu nhận an toàn, tạo case</w:t>
            </w:r>
          </w:p>
        </w:tc>
        <w:tc>
          <w:tcPr>
            <w:tcW w:type="dxa" w:w="3067"/>
            <w:vAlign w:val="center"/>
          </w:tcPr>
          <w:p>
            <w:pPr>
              <w:spacing w:after="40"/>
            </w:pPr>
            <w:r>
              <w:rPr>
                <w:sz w:val="16"/>
              </w:rPr>
              <w:t>Xác nhận ngày hạn mơ hồ</w:t>
            </w:r>
          </w:p>
        </w:tc>
      </w:tr>
      <w:tr>
        <w:tc>
          <w:tcPr>
            <w:tcW w:type="dxa" w:w="1037"/>
            <w:vAlign w:val="center"/>
          </w:tcPr>
          <w:p>
            <w:pPr>
              <w:spacing w:after="40"/>
            </w:pPr>
            <w:r>
              <w:rPr>
                <w:sz w:val="16"/>
              </w:rPr>
              <w:t>WF-02</w:t>
            </w:r>
          </w:p>
        </w:tc>
        <w:tc>
          <w:tcPr>
            <w:tcW w:type="dxa" w:w="1872"/>
            <w:vAlign w:val="center"/>
          </w:tcPr>
          <w:p>
            <w:pPr>
              <w:spacing w:after="40"/>
            </w:pPr>
            <w:r>
              <w:rPr>
                <w:sz w:val="16"/>
              </w:rPr>
              <w:t>Phân loại</w:t>
            </w:r>
          </w:p>
        </w:tc>
        <w:tc>
          <w:tcPr>
            <w:tcW w:type="dxa" w:w="3456"/>
            <w:vAlign w:val="center"/>
          </w:tcPr>
          <w:p>
            <w:pPr>
              <w:spacing w:after="40"/>
            </w:pPr>
            <w:r>
              <w:rPr>
                <w:sz w:val="16"/>
              </w:rPr>
              <w:t>Dựa trên dữ liệu có cấu trúc</w:t>
            </w:r>
          </w:p>
        </w:tc>
        <w:tc>
          <w:tcPr>
            <w:tcW w:type="dxa" w:w="3067"/>
            <w:vAlign w:val="center"/>
          </w:tcPr>
          <w:p>
            <w:pPr>
              <w:spacing w:after="40"/>
            </w:pPr>
            <w:r>
              <w:rPr>
                <w:sz w:val="16"/>
              </w:rPr>
              <w:t>Phân loại thông tin nhạy cảm chưa rõ</w:t>
            </w:r>
          </w:p>
        </w:tc>
      </w:tr>
      <w:tr>
        <w:tc>
          <w:tcPr>
            <w:tcW w:type="dxa" w:w="1037"/>
            <w:vAlign w:val="center"/>
          </w:tcPr>
          <w:p>
            <w:pPr>
              <w:spacing w:after="40"/>
            </w:pPr>
            <w:r>
              <w:rPr>
                <w:sz w:val="16"/>
              </w:rPr>
              <w:t>WF-03</w:t>
            </w:r>
          </w:p>
        </w:tc>
        <w:tc>
          <w:tcPr>
            <w:tcW w:type="dxa" w:w="1872"/>
            <w:vAlign w:val="center"/>
          </w:tcPr>
          <w:p>
            <w:pPr>
              <w:spacing w:after="40"/>
            </w:pPr>
            <w:r>
              <w:rPr>
                <w:sz w:val="16"/>
              </w:rPr>
              <w:t>Deadline</w:t>
            </w:r>
          </w:p>
        </w:tc>
        <w:tc>
          <w:tcPr>
            <w:tcW w:type="dxa" w:w="3456"/>
            <w:vAlign w:val="center"/>
          </w:tcPr>
          <w:p>
            <w:pPr>
              <w:spacing w:after="40"/>
            </w:pPr>
            <w:r>
              <w:rPr>
                <w:sz w:val="16"/>
              </w:rPr>
              <w:t>Đánh giá từng chu kỳ 15 phút</w:t>
            </w:r>
          </w:p>
        </w:tc>
        <w:tc>
          <w:tcPr>
            <w:tcW w:type="dxa" w:w="3067"/>
            <w:vAlign w:val="center"/>
          </w:tcPr>
          <w:p>
            <w:pPr>
              <w:spacing w:after="40"/>
            </w:pPr>
            <w:r>
              <w:rPr>
                <w:sz w:val="16"/>
              </w:rPr>
              <w:t>Xác nhận deadline chưa xác minh</w:t>
            </w:r>
          </w:p>
        </w:tc>
      </w:tr>
      <w:tr>
        <w:tc>
          <w:tcPr>
            <w:tcW w:type="dxa" w:w="1037"/>
            <w:vAlign w:val="center"/>
          </w:tcPr>
          <w:p>
            <w:pPr>
              <w:spacing w:after="40"/>
            </w:pPr>
            <w:r>
              <w:rPr>
                <w:sz w:val="16"/>
              </w:rPr>
              <w:t>WF-04</w:t>
            </w:r>
          </w:p>
        </w:tc>
        <w:tc>
          <w:tcPr>
            <w:tcW w:type="dxa" w:w="1872"/>
            <w:vAlign w:val="center"/>
          </w:tcPr>
          <w:p>
            <w:pPr>
              <w:spacing w:after="40"/>
            </w:pPr>
            <w:r>
              <w:rPr>
                <w:sz w:val="16"/>
              </w:rPr>
              <w:t>Reminder</w:t>
            </w:r>
          </w:p>
        </w:tc>
        <w:tc>
          <w:tcPr>
            <w:tcW w:type="dxa" w:w="3456"/>
            <w:vAlign w:val="center"/>
          </w:tcPr>
          <w:p>
            <w:pPr>
              <w:spacing w:after="40"/>
            </w:pPr>
            <w:r>
              <w:rPr>
                <w:sz w:val="16"/>
              </w:rPr>
              <w:t>Nhắc D−3, D−1, D0, quá hạn</w:t>
            </w:r>
          </w:p>
        </w:tc>
        <w:tc>
          <w:tcPr>
            <w:tcW w:type="dxa" w:w="3067"/>
            <w:vAlign w:val="center"/>
          </w:tcPr>
          <w:p>
            <w:pPr>
              <w:spacing w:after="40"/>
            </w:pPr>
            <w:r>
              <w:rPr>
                <w:sz w:val="16"/>
              </w:rPr>
              <w:t>Can thiệp khi quá hạn nghiêm trọng</w:t>
            </w:r>
          </w:p>
        </w:tc>
      </w:tr>
      <w:tr>
        <w:tc>
          <w:tcPr>
            <w:tcW w:type="dxa" w:w="1037"/>
            <w:vAlign w:val="center"/>
          </w:tcPr>
          <w:p>
            <w:pPr>
              <w:spacing w:after="40"/>
            </w:pPr>
            <w:r>
              <w:rPr>
                <w:sz w:val="16"/>
              </w:rPr>
              <w:t>WF-05</w:t>
            </w:r>
          </w:p>
        </w:tc>
        <w:tc>
          <w:tcPr>
            <w:tcW w:type="dxa" w:w="1872"/>
            <w:vAlign w:val="center"/>
          </w:tcPr>
          <w:p>
            <w:pPr>
              <w:spacing w:after="40"/>
            </w:pPr>
            <w:r>
              <w:rPr>
                <w:sz w:val="16"/>
              </w:rPr>
              <w:t>DOCX check</w:t>
            </w:r>
          </w:p>
        </w:tc>
        <w:tc>
          <w:tcPr>
            <w:tcW w:type="dxa" w:w="3456"/>
            <w:vAlign w:val="center"/>
          </w:tcPr>
          <w:p>
            <w:pPr>
              <w:spacing w:after="40"/>
            </w:pPr>
            <w:r>
              <w:rPr>
                <w:sz w:val="16"/>
              </w:rPr>
              <w:t>Kiểm tra mục bắt buộc và hash</w:t>
            </w:r>
          </w:p>
        </w:tc>
        <w:tc>
          <w:tcPr>
            <w:tcW w:type="dxa" w:w="3067"/>
            <w:vAlign w:val="center"/>
          </w:tcPr>
          <w:p>
            <w:pPr>
              <w:spacing w:after="40"/>
            </w:pPr>
            <w:r>
              <w:rPr>
                <w:sz w:val="16"/>
              </w:rPr>
              <w:t>Đọc, đánh giá nội dung thật</w:t>
            </w:r>
          </w:p>
        </w:tc>
      </w:tr>
      <w:tr>
        <w:tc>
          <w:tcPr>
            <w:tcW w:type="dxa" w:w="1037"/>
            <w:vAlign w:val="center"/>
          </w:tcPr>
          <w:p>
            <w:pPr>
              <w:spacing w:after="40"/>
            </w:pPr>
            <w:r>
              <w:rPr>
                <w:sz w:val="16"/>
              </w:rPr>
              <w:t>WF-06</w:t>
            </w:r>
          </w:p>
        </w:tc>
        <w:tc>
          <w:tcPr>
            <w:tcW w:type="dxa" w:w="1872"/>
            <w:vAlign w:val="center"/>
          </w:tcPr>
          <w:p>
            <w:pPr>
              <w:spacing w:after="40"/>
            </w:pPr>
            <w:r>
              <w:rPr>
                <w:sz w:val="16"/>
              </w:rPr>
              <w:t>Evidence/HR</w:t>
            </w:r>
          </w:p>
        </w:tc>
        <w:tc>
          <w:tcPr>
            <w:tcW w:type="dxa" w:w="3456"/>
            <w:vAlign w:val="center"/>
          </w:tcPr>
          <w:p>
            <w:pPr>
              <w:spacing w:after="40"/>
            </w:pPr>
            <w:r>
              <w:rPr>
                <w:sz w:val="16"/>
              </w:rPr>
              <w:t>Chặn thiếu evidence_ref</w:t>
            </w:r>
          </w:p>
        </w:tc>
        <w:tc>
          <w:tcPr>
            <w:tcW w:type="dxa" w:w="3067"/>
            <w:vAlign w:val="center"/>
          </w:tcPr>
          <w:p>
            <w:pPr>
              <w:spacing w:after="40"/>
            </w:pPr>
            <w:r>
              <w:rPr>
                <w:sz w:val="16"/>
              </w:rPr>
              <w:t>Quyết định nhân sự, đối chiếu luật</w:t>
            </w:r>
          </w:p>
        </w:tc>
      </w:tr>
      <w:tr>
        <w:tc>
          <w:tcPr>
            <w:tcW w:type="dxa" w:w="1037"/>
            <w:vAlign w:val="center"/>
          </w:tcPr>
          <w:p>
            <w:pPr>
              <w:spacing w:after="40"/>
            </w:pPr>
            <w:r>
              <w:rPr>
                <w:sz w:val="16"/>
              </w:rPr>
              <w:t>WF-07</w:t>
            </w:r>
          </w:p>
        </w:tc>
        <w:tc>
          <w:tcPr>
            <w:tcW w:type="dxa" w:w="1872"/>
            <w:vAlign w:val="center"/>
          </w:tcPr>
          <w:p>
            <w:pPr>
              <w:spacing w:after="40"/>
            </w:pPr>
            <w:r>
              <w:rPr>
                <w:sz w:val="16"/>
              </w:rPr>
              <w:t>Approval</w:t>
            </w:r>
          </w:p>
        </w:tc>
        <w:tc>
          <w:tcPr>
            <w:tcW w:type="dxa" w:w="3456"/>
            <w:vAlign w:val="center"/>
          </w:tcPr>
          <w:p>
            <w:pPr>
              <w:spacing w:after="40"/>
            </w:pPr>
            <w:r>
              <w:rPr>
                <w:sz w:val="16"/>
              </w:rPr>
              <w:t>Quản lý chờ duyệt và audit</w:t>
            </w:r>
          </w:p>
        </w:tc>
        <w:tc>
          <w:tcPr>
            <w:tcW w:type="dxa" w:w="3067"/>
            <w:vAlign w:val="center"/>
          </w:tcPr>
          <w:p>
            <w:pPr>
              <w:spacing w:after="40"/>
            </w:pPr>
            <w:r>
              <w:rPr>
                <w:sz w:val="16"/>
              </w:rPr>
              <w:t>Approve / Reject</w:t>
            </w:r>
          </w:p>
        </w:tc>
      </w:tr>
      <w:tr>
        <w:tc>
          <w:tcPr>
            <w:tcW w:type="dxa" w:w="1037"/>
            <w:vAlign w:val="center"/>
          </w:tcPr>
          <w:p>
            <w:pPr>
              <w:spacing w:after="40"/>
            </w:pPr>
            <w:r>
              <w:rPr>
                <w:sz w:val="16"/>
              </w:rPr>
              <w:t>WF-08</w:t>
            </w:r>
          </w:p>
        </w:tc>
        <w:tc>
          <w:tcPr>
            <w:tcW w:type="dxa" w:w="1872"/>
            <w:vAlign w:val="center"/>
          </w:tcPr>
          <w:p>
            <w:pPr>
              <w:spacing w:after="40"/>
            </w:pPr>
            <w:r>
              <w:rPr>
                <w:sz w:val="16"/>
              </w:rPr>
              <w:t>Recovery</w:t>
            </w:r>
          </w:p>
        </w:tc>
        <w:tc>
          <w:tcPr>
            <w:tcW w:type="dxa" w:w="3456"/>
            <w:vAlign w:val="center"/>
          </w:tcPr>
          <w:p>
            <w:pPr>
              <w:spacing w:after="40"/>
            </w:pPr>
            <w:r>
              <w:rPr>
                <w:sz w:val="16"/>
              </w:rPr>
              <w:t>Outbox, tránh gửi lặp</w:t>
            </w:r>
          </w:p>
        </w:tc>
        <w:tc>
          <w:tcPr>
            <w:tcW w:type="dxa" w:w="3067"/>
            <w:vAlign w:val="center"/>
          </w:tcPr>
          <w:p>
            <w:pPr>
              <w:spacing w:after="40"/>
            </w:pPr>
            <w:r>
              <w:rPr>
                <w:sz w:val="16"/>
              </w:rPr>
              <w:t>Xử lý kết quả SMTP UNKNOWN</w:t>
            </w:r>
          </w:p>
        </w:tc>
      </w:tr>
    </w:tbl>
    <w:p/>
    <w:p>
      <w:pPr>
        <w:pStyle w:val="Heading1"/>
      </w:pPr>
      <w:r>
        <w:t>7. Luật cảnh báo và điều kiện</w:t>
      </w:r>
    </w:p>
    <w:tbl>
      <w:tblPr>
        <w:tblStyle w:val="LightShading-Accent1"/>
        <w:tblW w:type="auto" w:w="0"/>
        <w:jc w:val="center"/>
        <w:tblLook w:firstColumn="1" w:firstRow="1" w:lastColumn="0" w:lastRow="0" w:noHBand="0" w:noVBand="1" w:val="04A0"/>
      </w:tblPr>
      <w:tblGrid>
        <w:gridCol w:w="5011"/>
        <w:gridCol w:w="5011"/>
      </w:tblGrid>
      <w:tr>
        <w:tc>
          <w:tcPr>
            <w:tcW w:type="dxa" w:w="5256"/>
            <w:vAlign w:val="center"/>
          </w:tcPr>
          <w:p>
            <w:pPr>
              <w:spacing w:after="40"/>
            </w:pPr>
            <w:r>
              <w:rPr>
                <w:b/>
                <w:sz w:val="16"/>
              </w:rPr>
              <w:t>Kích hoạt</w:t>
            </w:r>
          </w:p>
        </w:tc>
        <w:tc>
          <w:tcPr>
            <w:tcW w:type="dxa" w:w="4176"/>
            <w:vAlign w:val="center"/>
          </w:tcPr>
          <w:p>
            <w:pPr>
              <w:spacing w:after="40"/>
            </w:pPr>
            <w:r>
              <w:rPr>
                <w:b/>
                <w:sz w:val="16"/>
              </w:rPr>
              <w:t>Kết quả / mức cảnh báo</w:t>
            </w:r>
          </w:p>
        </w:tc>
      </w:tr>
      <w:tr>
        <w:tc>
          <w:tcPr>
            <w:tcW w:type="dxa" w:w="5256"/>
            <w:vAlign w:val="center"/>
          </w:tcPr>
          <w:p>
            <w:pPr>
              <w:spacing w:after="40"/>
            </w:pPr>
            <w:r>
              <w:rPr>
                <w:sz w:val="16"/>
              </w:rPr>
              <w:t>D−3 ngày</w:t>
            </w:r>
          </w:p>
        </w:tc>
        <w:tc>
          <w:tcPr>
            <w:tcW w:type="dxa" w:w="4176"/>
            <w:vAlign w:val="center"/>
          </w:tcPr>
          <w:p>
            <w:pPr>
              <w:spacing w:after="40"/>
            </w:pPr>
            <w:r>
              <w:rPr>
                <w:sz w:val="16"/>
              </w:rPr>
              <w:t>INFO: cần chuẩn bị</w:t>
            </w:r>
          </w:p>
        </w:tc>
      </w:tr>
      <w:tr>
        <w:tc>
          <w:tcPr>
            <w:tcW w:type="dxa" w:w="5256"/>
            <w:vAlign w:val="center"/>
          </w:tcPr>
          <w:p>
            <w:pPr>
              <w:spacing w:after="40"/>
            </w:pPr>
            <w:r>
              <w:rPr>
                <w:sz w:val="16"/>
              </w:rPr>
              <w:t>D−1 ngày</w:t>
            </w:r>
          </w:p>
        </w:tc>
        <w:tc>
          <w:tcPr>
            <w:tcW w:type="dxa" w:w="4176"/>
            <w:vAlign w:val="center"/>
          </w:tcPr>
          <w:p>
            <w:pPr>
              <w:spacing w:after="40"/>
            </w:pPr>
            <w:r>
              <w:rPr>
                <w:sz w:val="16"/>
              </w:rPr>
              <w:t>WARNING: sắp đến hạn</w:t>
            </w:r>
          </w:p>
        </w:tc>
      </w:tr>
      <w:tr>
        <w:tc>
          <w:tcPr>
            <w:tcW w:type="dxa" w:w="5256"/>
            <w:vAlign w:val="center"/>
          </w:tcPr>
          <w:p>
            <w:pPr>
              <w:spacing w:after="40"/>
            </w:pPr>
            <w:r>
              <w:rPr>
                <w:sz w:val="16"/>
              </w:rPr>
              <w:t>D0</w:t>
            </w:r>
          </w:p>
        </w:tc>
        <w:tc>
          <w:tcPr>
            <w:tcW w:type="dxa" w:w="4176"/>
            <w:vAlign w:val="center"/>
          </w:tcPr>
          <w:p>
            <w:pPr>
              <w:spacing w:after="40"/>
            </w:pPr>
            <w:r>
              <w:rPr>
                <w:sz w:val="16"/>
              </w:rPr>
              <w:t>WARNING: hôm nay / đã quá hạn trong ngày</w:t>
            </w:r>
          </w:p>
        </w:tc>
      </w:tr>
      <w:tr>
        <w:tc>
          <w:tcPr>
            <w:tcW w:type="dxa" w:w="5256"/>
            <w:vAlign w:val="center"/>
          </w:tcPr>
          <w:p>
            <w:pPr>
              <w:spacing w:after="40"/>
            </w:pPr>
            <w:r>
              <w:rPr>
                <w:sz w:val="16"/>
              </w:rPr>
              <w:t>D&lt;0</w:t>
            </w:r>
          </w:p>
        </w:tc>
        <w:tc>
          <w:tcPr>
            <w:tcW w:type="dxa" w:w="4176"/>
            <w:vAlign w:val="center"/>
          </w:tcPr>
          <w:p>
            <w:pPr>
              <w:spacing w:after="40"/>
            </w:pPr>
            <w:r>
              <w:rPr>
                <w:sz w:val="16"/>
              </w:rPr>
              <w:t>CRITICAL: quá hạn; đánh giá mỗi ngày</w:t>
            </w:r>
          </w:p>
        </w:tc>
      </w:tr>
      <w:tr>
        <w:tc>
          <w:tcPr>
            <w:tcW w:type="dxa" w:w="5256"/>
            <w:vAlign w:val="center"/>
          </w:tcPr>
          <w:p>
            <w:pPr>
              <w:spacing w:after="40"/>
            </w:pPr>
            <w:r>
              <w:rPr>
                <w:sz w:val="16"/>
              </w:rPr>
              <w:t>Deadline chưa đủ căn cứ</w:t>
            </w:r>
          </w:p>
        </w:tc>
        <w:tc>
          <w:tcPr>
            <w:tcW w:type="dxa" w:w="4176"/>
            <w:vAlign w:val="center"/>
          </w:tcPr>
          <w:p>
            <w:pPr>
              <w:spacing w:after="40"/>
            </w:pPr>
            <w:r>
              <w:rPr>
                <w:sz w:val="16"/>
              </w:rPr>
              <w:t>WARNING: người phụ trách xác nhận</w:t>
            </w:r>
          </w:p>
        </w:tc>
      </w:tr>
      <w:tr>
        <w:tc>
          <w:tcPr>
            <w:tcW w:type="dxa" w:w="5256"/>
            <w:vAlign w:val="center"/>
          </w:tcPr>
          <w:p>
            <w:pPr>
              <w:spacing w:after="40"/>
            </w:pPr>
            <w:r>
              <w:rPr>
                <w:sz w:val="16"/>
              </w:rPr>
              <w:t>Thiếu evidence_ref đối với HR / Regulation / Document</w:t>
            </w:r>
          </w:p>
        </w:tc>
        <w:tc>
          <w:tcPr>
            <w:tcW w:type="dxa" w:w="4176"/>
            <w:vAlign w:val="center"/>
          </w:tcPr>
          <w:p>
            <w:pPr>
              <w:spacing w:after="40"/>
            </w:pPr>
            <w:r>
              <w:rPr>
                <w:sz w:val="16"/>
              </w:rPr>
              <w:t>CRITICAL: HOLD, không cho duyệt</w:t>
            </w:r>
          </w:p>
        </w:tc>
      </w:tr>
      <w:tr>
        <w:tc>
          <w:tcPr>
            <w:tcW w:type="dxa" w:w="5256"/>
            <w:vAlign w:val="center"/>
          </w:tcPr>
          <w:p>
            <w:pPr>
              <w:spacing w:after="40"/>
            </w:pPr>
            <w:r>
              <w:rPr>
                <w:sz w:val="16"/>
              </w:rPr>
              <w:t>READY_FOR_APPROVAL + đủ căn cứ</w:t>
            </w:r>
          </w:p>
        </w:tc>
        <w:tc>
          <w:tcPr>
            <w:tcW w:type="dxa" w:w="4176"/>
            <w:vAlign w:val="center"/>
          </w:tcPr>
          <w:p>
            <w:pPr>
              <w:spacing w:after="40"/>
            </w:pPr>
            <w:r>
              <w:rPr>
                <w:sz w:val="16"/>
              </w:rPr>
              <w:t>WARNING: yêu cầu quyết định người quản lý</w:t>
            </w:r>
          </w:p>
        </w:tc>
      </w:tr>
    </w:tbl>
    <w:p/>
    <w:p>
      <w:pPr>
        <w:pStyle w:val="SmallNote"/>
      </w:pPr>
      <w:r>
        <w:t>Các mốc nhắc không bị phát lại nhiều lần trong cùng ngày và cùng revision. Nếu máy tính tắt vào D−3, hệ thống không thể tạo email quá khứ; khi khởi động lại sẽ đánh giá hạn hiện tại và báo quá hạn nếu có.</w:t>
      </w:r>
    </w:p>
    <w:p>
      <w:r>
        <w:br w:type="page"/>
      </w:r>
    </w:p>
    <w:p>
      <w:pPr>
        <w:pStyle w:val="Heading1"/>
      </w:pPr>
      <w:r>
        <w:t>8. Mô hình trạng thái và an toàn</w:t>
      </w:r>
    </w:p>
    <w:p>
      <w:r>
        <w:t>CASE: NEW → TRIAGE → DRAFT → READY_FOR_APPROVAL → APPROVED/REJECTED → COMPLETED. Bản v2 chỉ mở các thao tác cập nhật có kiểm soát, chưa có executor tự gửi hồ sơ.</w:t>
      </w:r>
    </w:p>
    <w:tbl>
      <w:tblPr>
        <w:tblStyle w:val="LightShading-Accent1"/>
        <w:tblW w:type="auto" w:w="0"/>
        <w:jc w:val="center"/>
        <w:tblLook w:firstColumn="1" w:firstRow="1" w:lastColumn="0" w:lastRow="0" w:noHBand="0" w:noVBand="1" w:val="04A0"/>
      </w:tblPr>
      <w:tblGrid>
        <w:gridCol w:w="5011"/>
        <w:gridCol w:w="5011"/>
      </w:tblGrid>
      <w:tr>
        <w:tc>
          <w:tcPr>
            <w:tcW w:type="dxa" w:w="2376"/>
            <w:vAlign w:val="center"/>
          </w:tcPr>
          <w:p>
            <w:pPr>
              <w:spacing w:after="40"/>
            </w:pPr>
            <w:r>
              <w:rPr>
                <w:b/>
                <w:sz w:val="16"/>
              </w:rPr>
              <w:t>Dữ liệu</w:t>
            </w:r>
          </w:p>
        </w:tc>
        <w:tc>
          <w:tcPr>
            <w:tcW w:type="dxa" w:w="7056"/>
            <w:vAlign w:val="center"/>
          </w:tcPr>
          <w:p>
            <w:pPr>
              <w:spacing w:after="40"/>
            </w:pPr>
            <w:r>
              <w:rPr>
                <w:b/>
                <w:sz w:val="16"/>
              </w:rPr>
              <w:t>Quy tắc</w:t>
            </w:r>
          </w:p>
        </w:tc>
      </w:tr>
      <w:tr>
        <w:tc>
          <w:tcPr>
            <w:tcW w:type="dxa" w:w="2376"/>
            <w:vAlign w:val="center"/>
          </w:tcPr>
          <w:p>
            <w:pPr>
              <w:spacing w:after="40"/>
            </w:pPr>
            <w:r>
              <w:rPr>
                <w:sz w:val="16"/>
              </w:rPr>
              <w:t>case_id / revision</w:t>
            </w:r>
          </w:p>
        </w:tc>
        <w:tc>
          <w:tcPr>
            <w:tcW w:type="dxa" w:w="7056"/>
            <w:vAlign w:val="center"/>
          </w:tcPr>
          <w:p>
            <w:pPr>
              <w:spacing w:after="40"/>
            </w:pPr>
            <w:r>
              <w:rPr>
                <w:sz w:val="16"/>
              </w:rPr>
              <w:t>Định danh duy nhất và chống phê duyệt phiên bản cũ</w:t>
            </w:r>
          </w:p>
        </w:tc>
      </w:tr>
      <w:tr>
        <w:tc>
          <w:tcPr>
            <w:tcW w:type="dxa" w:w="2376"/>
            <w:vAlign w:val="center"/>
          </w:tcPr>
          <w:p>
            <w:pPr>
              <w:spacing w:after="40"/>
            </w:pPr>
            <w:r>
              <w:rPr>
                <w:sz w:val="16"/>
              </w:rPr>
              <w:t>due_at / due_verified</w:t>
            </w:r>
          </w:p>
        </w:tc>
        <w:tc>
          <w:tcPr>
            <w:tcW w:type="dxa" w:w="7056"/>
            <w:vAlign w:val="center"/>
          </w:tcPr>
          <w:p>
            <w:pPr>
              <w:spacing w:after="40"/>
            </w:pPr>
            <w:r>
              <w:rPr>
                <w:sz w:val="16"/>
              </w:rPr>
              <w:t>Dấu thời gian TZ-aware + xác minh do người thực hiện</w:t>
            </w:r>
          </w:p>
        </w:tc>
      </w:tr>
      <w:tr>
        <w:tc>
          <w:tcPr>
            <w:tcW w:type="dxa" w:w="2376"/>
            <w:vAlign w:val="center"/>
          </w:tcPr>
          <w:p>
            <w:pPr>
              <w:spacing w:after="40"/>
            </w:pPr>
            <w:r>
              <w:rPr>
                <w:sz w:val="16"/>
              </w:rPr>
              <w:t>evidence_ref</w:t>
            </w:r>
          </w:p>
        </w:tc>
        <w:tc>
          <w:tcPr>
            <w:tcW w:type="dxa" w:w="7056"/>
            <w:vAlign w:val="center"/>
          </w:tcPr>
          <w:p>
            <w:pPr>
              <w:spacing w:after="40"/>
            </w:pPr>
            <w:r>
              <w:rPr>
                <w:sz w:val="16"/>
              </w:rPr>
              <w:t>Sự tồn tại của mã nguồn tài liệu, KHÔNG thay thế kiểm chứng pháp lý</w:t>
            </w:r>
          </w:p>
        </w:tc>
      </w:tr>
      <w:tr>
        <w:tc>
          <w:tcPr>
            <w:tcW w:type="dxa" w:w="2376"/>
            <w:vAlign w:val="center"/>
          </w:tcPr>
          <w:p>
            <w:pPr>
              <w:spacing w:after="40"/>
            </w:pPr>
            <w:r>
              <w:rPr>
                <w:sz w:val="16"/>
              </w:rPr>
              <w:t>data_class</w:t>
            </w:r>
          </w:p>
        </w:tc>
        <w:tc>
          <w:tcPr>
            <w:tcW w:type="dxa" w:w="7056"/>
            <w:vAlign w:val="center"/>
          </w:tcPr>
          <w:p>
            <w:pPr>
              <w:spacing w:after="40"/>
            </w:pPr>
            <w:r>
              <w:rPr>
                <w:sz w:val="16"/>
              </w:rPr>
              <w:t>PUBLIC / INTERNAL / CONFIDENTIAL / RESTRICTED</w:t>
            </w:r>
          </w:p>
        </w:tc>
      </w:tr>
      <w:tr>
        <w:tc>
          <w:tcPr>
            <w:tcW w:type="dxa" w:w="2376"/>
            <w:vAlign w:val="center"/>
          </w:tcPr>
          <w:p>
            <w:pPr>
              <w:spacing w:after="40"/>
            </w:pPr>
            <w:r>
              <w:rPr>
                <w:sz w:val="16"/>
              </w:rPr>
              <w:t>approval_status</w:t>
            </w:r>
          </w:p>
        </w:tc>
        <w:tc>
          <w:tcPr>
            <w:tcW w:type="dxa" w:w="7056"/>
            <w:vAlign w:val="center"/>
          </w:tcPr>
          <w:p>
            <w:pPr>
              <w:spacing w:after="40"/>
            </w:pPr>
            <w:r>
              <w:rPr>
                <w:sz w:val="16"/>
              </w:rPr>
              <w:t>NOT_REQUIRED / PENDING / APPROVED / REJECTED</w:t>
            </w:r>
          </w:p>
        </w:tc>
      </w:tr>
      <w:tr>
        <w:tc>
          <w:tcPr>
            <w:tcW w:type="dxa" w:w="2376"/>
            <w:vAlign w:val="center"/>
          </w:tcPr>
          <w:p>
            <w:pPr>
              <w:spacing w:after="40"/>
            </w:pPr>
            <w:r>
              <w:rPr>
                <w:sz w:val="16"/>
              </w:rPr>
              <w:t>alert_id</w:t>
            </w:r>
          </w:p>
        </w:tc>
        <w:tc>
          <w:tcPr>
            <w:tcW w:type="dxa" w:w="7056"/>
            <w:vAlign w:val="center"/>
          </w:tcPr>
          <w:p>
            <w:pPr>
              <w:spacing w:after="40"/>
            </w:pPr>
            <w:r>
              <w:rPr>
                <w:sz w:val="16"/>
              </w:rPr>
              <w:t>SHA-256(case_id, revision, rule, date) cho idempotency</w:t>
            </w:r>
          </w:p>
        </w:tc>
      </w:tr>
      <w:tr>
        <w:tc>
          <w:tcPr>
            <w:tcW w:type="dxa" w:w="2376"/>
            <w:vAlign w:val="center"/>
          </w:tcPr>
          <w:p>
            <w:pPr>
              <w:spacing w:after="40"/>
            </w:pPr>
            <w:r>
              <w:rPr>
                <w:sz w:val="16"/>
              </w:rPr>
              <w:t>outbox.state</w:t>
            </w:r>
          </w:p>
        </w:tc>
        <w:tc>
          <w:tcPr>
            <w:tcW w:type="dxa" w:w="7056"/>
            <w:vAlign w:val="center"/>
          </w:tcPr>
          <w:p>
            <w:pPr>
              <w:spacing w:after="40"/>
            </w:pPr>
            <w:r>
              <w:rPr>
                <w:sz w:val="16"/>
              </w:rPr>
              <w:t>QUEUED / SENDING / SENT / UNKNOWN / STALE</w:t>
            </w:r>
          </w:p>
        </w:tc>
      </w:tr>
      <w:tr>
        <w:tc>
          <w:tcPr>
            <w:tcW w:type="dxa" w:w="2376"/>
            <w:vAlign w:val="center"/>
          </w:tcPr>
          <w:p>
            <w:pPr>
              <w:spacing w:after="40"/>
            </w:pPr>
            <w:r>
              <w:rPr>
                <w:sz w:val="16"/>
              </w:rPr>
              <w:t>audit</w:t>
            </w:r>
          </w:p>
        </w:tc>
        <w:tc>
          <w:tcPr>
            <w:tcW w:type="dxa" w:w="7056"/>
            <w:vAlign w:val="center"/>
          </w:tcPr>
          <w:p>
            <w:pPr>
              <w:spacing w:after="40"/>
            </w:pPr>
            <w:r>
              <w:rPr>
                <w:sz w:val="16"/>
              </w:rPr>
              <w:t>Hành động / actor / timestamp / revision</w:t>
            </w:r>
          </w:p>
        </w:tc>
      </w:tr>
    </w:tbl>
    <w:p/>
    <w:p>
      <w:pPr>
        <w:pStyle w:val="Heading1"/>
      </w:pPr>
      <w:r>
        <w:t>9. Ranh giới phê duyệt</w:t>
      </w:r>
    </w:p>
    <w:p>
      <w:pPr>
        <w:pStyle w:val="ListBullet"/>
      </w:pPr>
      <w:r>
        <w:t>Không tự đánh giá, chấm điểm, xếp hạng giáo viên hoặc ra quyết định nhân sự.</w:t>
      </w:r>
    </w:p>
    <w:p>
      <w:pPr>
        <w:pStyle w:val="ListBullet"/>
      </w:pPr>
      <w:r>
        <w:t>Không tự gửi email chính thức, cập nhật lịch người khác hoặc nộp hồ sơ khi chưa có người duyệt.</w:t>
      </w:r>
    </w:p>
    <w:p>
      <w:pPr>
        <w:pStyle w:val="ListBullet"/>
      </w:pPr>
      <w:r>
        <w:t>Thiếu tài liệu căn cứ: báo “要確認”; không tự suy diễn theo kiến thức mô hình.</w:t>
      </w:r>
    </w:p>
    <w:p>
      <w:pPr>
        <w:pStyle w:val="ListBullet"/>
      </w:pPr>
      <w:r>
        <w:t>Bản demo chỉ xác thực tài khoản Windows bằng allowlist và xác nhận gõ thủ công. Production cần Entra ID/SSO, RBAC, MFA theo chính sách tổ chức.</w:t>
      </w:r>
    </w:p>
    <w:p>
      <w:pPr>
        <w:pStyle w:val="Heading1"/>
      </w:pPr>
      <w:r>
        <w:t>10. Quy tắc bảo mật</w:t>
      </w:r>
    </w:p>
    <w:p>
      <w:r>
        <w:t>Không lưu raw email/sender/subject trong intake; dữ liệu nhạy cảm xuất cảnh báo chỉ có ID và nhãn chung. Tài khoản và phân quyền NTFS, BitLocker, sao lưu, retention, Nhật ký và giám sát là những điều kiện chặn trước khi sử dụng dữ liệu thật.</w:t>
      </w:r>
    </w:p>
    <w:p>
      <w:r>
        <w:br w:type="page"/>
      </w:r>
    </w:p>
    <w:p>
      <w:pPr>
        <w:pStyle w:val="Heading1"/>
      </w:pPr>
      <w:r>
        <w:t>11. Kiểm thử, nghiệm thu và triển khai</w:t>
      </w:r>
    </w:p>
    <w:tbl>
      <w:tblPr>
        <w:tblStyle w:val="LightShading-Accent1"/>
        <w:tblW w:type="auto" w:w="0"/>
        <w:jc w:val="center"/>
        <w:tblLook w:firstColumn="1" w:firstRow="1" w:lastColumn="0" w:lastRow="0" w:noHBand="0" w:noVBand="1" w:val="04A0"/>
      </w:tblPr>
      <w:tblGrid>
        <w:gridCol w:w="5011"/>
        <w:gridCol w:w="5011"/>
      </w:tblGrid>
      <w:tr>
        <w:tc>
          <w:tcPr>
            <w:tcW w:type="dxa" w:w="2952"/>
            <w:vAlign w:val="center"/>
          </w:tcPr>
          <w:p>
            <w:pPr>
              <w:spacing w:after="40"/>
            </w:pPr>
            <w:r>
              <w:rPr>
                <w:b/>
                <w:sz w:val="16"/>
              </w:rPr>
              <w:t>Mức</w:t>
            </w:r>
          </w:p>
        </w:tc>
        <w:tc>
          <w:tcPr>
            <w:tcW w:type="dxa" w:w="6480"/>
            <w:vAlign w:val="center"/>
          </w:tcPr>
          <w:p>
            <w:pPr>
              <w:spacing w:after="40"/>
            </w:pPr>
            <w:r>
              <w:rPr>
                <w:b/>
                <w:sz w:val="16"/>
              </w:rPr>
              <w:t>Kết quả / bằng chứng</w:t>
            </w:r>
          </w:p>
        </w:tc>
      </w:tr>
      <w:tr>
        <w:tc>
          <w:tcPr>
            <w:tcW w:type="dxa" w:w="2952"/>
            <w:vAlign w:val="center"/>
          </w:tcPr>
          <w:p>
            <w:pPr>
              <w:spacing w:after="40"/>
            </w:pPr>
            <w:r>
              <w:rPr>
                <w:sz w:val="16"/>
              </w:rPr>
              <w:t>Python unit / integration</w:t>
            </w:r>
          </w:p>
        </w:tc>
        <w:tc>
          <w:tcPr>
            <w:tcW w:type="dxa" w:w="6480"/>
            <w:vAlign w:val="center"/>
          </w:tcPr>
          <w:p>
            <w:pPr>
              <w:spacing w:after="40"/>
            </w:pPr>
            <w:r>
              <w:rPr>
                <w:sz w:val="16"/>
              </w:rPr>
              <w:t>40/40 PASS; test_results.txt trong source kit</w:t>
            </w:r>
          </w:p>
        </w:tc>
      </w:tr>
      <w:tr>
        <w:tc>
          <w:tcPr>
            <w:tcW w:type="dxa" w:w="2952"/>
            <w:vAlign w:val="center"/>
          </w:tcPr>
          <w:p>
            <w:pPr>
              <w:spacing w:after="40"/>
            </w:pPr>
            <w:r>
              <w:rPr>
                <w:sz w:val="16"/>
              </w:rPr>
              <w:t>CLI E2E Python</w:t>
            </w:r>
          </w:p>
        </w:tc>
        <w:tc>
          <w:tcPr>
            <w:tcW w:type="dxa" w:w="6480"/>
            <w:vAlign w:val="center"/>
          </w:tcPr>
          <w:p>
            <w:pPr>
              <w:spacing w:after="40"/>
            </w:pPr>
            <w:r>
              <w:rPr>
                <w:sz w:val="16"/>
              </w:rPr>
              <w:t>5 case mẫu, tạo 6 thông báo; lặp lại 0 thông báo</w:t>
            </w:r>
          </w:p>
        </w:tc>
      </w:tr>
      <w:tr>
        <w:tc>
          <w:tcPr>
            <w:tcW w:type="dxa" w:w="2952"/>
            <w:vAlign w:val="center"/>
          </w:tcPr>
          <w:p>
            <w:pPr>
              <w:spacing w:after="40"/>
            </w:pPr>
            <w:r>
              <w:rPr>
                <w:sz w:val="16"/>
              </w:rPr>
              <w:t>Outbox/file</w:t>
            </w:r>
          </w:p>
        </w:tc>
        <w:tc>
          <w:tcPr>
            <w:tcW w:type="dxa" w:w="6480"/>
            <w:vAlign w:val="center"/>
          </w:tcPr>
          <w:p>
            <w:pPr>
              <w:spacing w:after="40"/>
            </w:pPr>
            <w:r>
              <w:rPr>
                <w:sz w:val="16"/>
              </w:rPr>
              <w:t>6 file JSON được tạo; chạy lại không phát lần hai</w:t>
            </w:r>
          </w:p>
        </w:tc>
      </w:tr>
      <w:tr>
        <w:tc>
          <w:tcPr>
            <w:tcW w:type="dxa" w:w="2952"/>
            <w:vAlign w:val="center"/>
          </w:tcPr>
          <w:p>
            <w:pPr>
              <w:spacing w:after="40"/>
            </w:pPr>
            <w:r>
              <w:rPr>
                <w:sz w:val="16"/>
              </w:rPr>
              <w:t>Rust native compiler</w:t>
            </w:r>
          </w:p>
        </w:tc>
        <w:tc>
          <w:tcPr>
            <w:tcW w:type="dxa" w:w="6480"/>
            <w:vAlign w:val="center"/>
          </w:tcPr>
          <w:p>
            <w:pPr>
              <w:spacing w:after="40"/>
            </w:pPr>
            <w:r>
              <w:rPr>
                <w:sz w:val="16"/>
              </w:rPr>
              <w:t>CHƯA PASS: host không có rustc/cargo</w:t>
            </w:r>
          </w:p>
        </w:tc>
      </w:tr>
      <w:tr>
        <w:tc>
          <w:tcPr>
            <w:tcW w:type="dxa" w:w="2952"/>
            <w:vAlign w:val="center"/>
          </w:tcPr>
          <w:p>
            <w:pPr>
              <w:spacing w:after="40"/>
            </w:pPr>
            <w:r>
              <w:rPr>
                <w:sz w:val="16"/>
              </w:rPr>
              <w:t>Windows Task Scheduler</w:t>
            </w:r>
          </w:p>
        </w:tc>
        <w:tc>
          <w:tcPr>
            <w:tcW w:type="dxa" w:w="6480"/>
            <w:vAlign w:val="center"/>
          </w:tcPr>
          <w:p>
            <w:pPr>
              <w:spacing w:after="40"/>
            </w:pPr>
            <w:r>
              <w:rPr>
                <w:sz w:val="16"/>
              </w:rPr>
              <w:t>CHƯA PASS: chưa có máy Windows được ủy quyền</w:t>
            </w:r>
          </w:p>
        </w:tc>
      </w:tr>
      <w:tr>
        <w:tc>
          <w:tcPr>
            <w:tcW w:type="dxa" w:w="2952"/>
            <w:vAlign w:val="center"/>
          </w:tcPr>
          <w:p>
            <w:pPr>
              <w:spacing w:after="40"/>
            </w:pPr>
            <w:r>
              <w:rPr>
                <w:sz w:val="16"/>
              </w:rPr>
              <w:t>Outlook/SMTP/To Do</w:t>
            </w:r>
          </w:p>
        </w:tc>
        <w:tc>
          <w:tcPr>
            <w:tcW w:type="dxa" w:w="6480"/>
            <w:vAlign w:val="center"/>
          </w:tcPr>
          <w:p>
            <w:pPr>
              <w:spacing w:after="40"/>
            </w:pPr>
            <w:r>
              <w:rPr>
                <w:sz w:val="16"/>
              </w:rPr>
              <w:t>CHƯA PASS: chưa có kết nối/cấp quyền bên khách hàng</w:t>
            </w:r>
          </w:p>
        </w:tc>
      </w:tr>
      <w:tr>
        <w:tc>
          <w:tcPr>
            <w:tcW w:type="dxa" w:w="2952"/>
            <w:vAlign w:val="center"/>
          </w:tcPr>
          <w:p>
            <w:pPr>
              <w:spacing w:after="40"/>
            </w:pPr>
            <w:r>
              <w:rPr>
                <w:sz w:val="16"/>
              </w:rPr>
              <w:t>AI pháp lý/nhân sự</w:t>
            </w:r>
          </w:p>
        </w:tc>
        <w:tc>
          <w:tcPr>
            <w:tcW w:type="dxa" w:w="6480"/>
            <w:vAlign w:val="center"/>
          </w:tcPr>
          <w:p>
            <w:pPr>
              <w:spacing w:after="40"/>
            </w:pPr>
            <w:r>
              <w:rPr>
                <w:sz w:val="16"/>
              </w:rPr>
              <w:t>CHƯA TRIỂN KHAI: chỉ có cổng chặn thiếu căn cứ</w:t>
            </w:r>
          </w:p>
        </w:tc>
      </w:tr>
    </w:tbl>
    <w:p/>
    <w:p>
      <w:pPr>
        <w:pStyle w:val="Heading1"/>
      </w:pPr>
      <w:r>
        <w:t>12. Lộ trình nghiệm thu trên Windows</w:t>
      </w:r>
    </w:p>
    <w:p>
      <w:pPr>
        <w:pStyle w:val="ListBullet"/>
      </w:pPr>
      <w:r>
        <w:t>GATE 1 — Build: cargo test, cargo build --release; đảm bảo binary không cần DLL bất thường.</w:t>
      </w:r>
    </w:p>
    <w:p>
      <w:pPr>
        <w:pStyle w:val="ListBullet"/>
      </w:pPr>
      <w:r>
        <w:t>GATE 2 — Integration: Python CLI gọi Rust thật; xác nhận 6 cảnh báo lần đầu và 0 khi chạy lặp.</w:t>
      </w:r>
    </w:p>
    <w:p>
      <w:pPr>
        <w:pStyle w:val="ListBullet"/>
      </w:pPr>
      <w:r>
        <w:t>GATE 3 — Scheduler: đăng ký task cho user thường; xác nhận run history, log, lần chạy định kỳ.</w:t>
      </w:r>
    </w:p>
    <w:p>
      <w:pPr>
        <w:pStyle w:val="ListBullet"/>
      </w:pPr>
      <w:r>
        <w:t>GATE 4 — Live intake: chỉ dùng mail giả lập đã được IT duyệt, kiểm tra Outlook Classic/Graph.</w:t>
      </w:r>
    </w:p>
    <w:p>
      <w:pPr>
        <w:pStyle w:val="ListBullet"/>
      </w:pPr>
      <w:r>
        <w:t>GATE 5 — Alert delivery: SMTP test đến allowlist, kiểm tra FAILED/UNKNOWN và đối soát trước retry.</w:t>
      </w:r>
    </w:p>
    <w:p>
      <w:pPr>
        <w:pStyle w:val="ListBullet"/>
      </w:pPr>
      <w:r>
        <w:t>GATE 6 — Pilot: chọn 3 nghiệp vụ, ghi thời gian trước/sau, tỉ lệ đúng, đánh giá bảo mật và rollback.</w:t>
      </w:r>
    </w:p>
    <w:p>
      <w:pPr>
        <w:pStyle w:val="Heading1"/>
      </w:pPr>
      <w:r>
        <w:t>13. Quyết định thiết kế còn mở</w:t>
      </w:r>
    </w:p>
    <w:p>
      <w:r>
        <w:t>Một số yêu cầu triển khai bắt buộc xác minh với cơ sở giáo dục: (1) Outlook Classic hay New Outlook, (2) chính sách cài Rust/Python và Task Scheduler, (3) thông báo bằng mail nội bộ hay local only, (4) người duyệt và SSO, (5) dữ liệu có được phép đi vào mô hình AI hay không.</w:t>
      </w:r>
    </w:p>
    <w:p>
      <w:pPr>
        <w:pStyle w:val="SmallNote"/>
      </w:pPr>
      <w:r>
        <w:t>Tài liệu kỹ thuật chi tiết, nguồn và checklist đầy đủ: xem README.md, docs/ARCHITECTURE.md, docs/STATUS.md trong bộ mã Python + Rust.</w:t>
      </w:r>
    </w:p>
    <w:sectPr w:rsidR="00FC693F" w:rsidRPr="0006063C" w:rsidSect="00034616">
      <w:headerReference w:type="default" r:id="rId9"/>
      <w:footerReference w:type="default" r:id="rId10"/>
      <w:pgSz w:w="12240" w:h="15840"/>
      <w:pgMar w:top="1094" w:right="1109" w:bottom="1037"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Design v2.0  •  19 October 2026  •  Internal technical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EDUCATION  /  WORKFLOW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34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43F59"/>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Display" w:hAnsi="Aptos Display"/>
      <w:b/>
      <w:bCs/>
      <w:color w:val="0E5F7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Aptos Display" w:hAnsi="Aptos Display"/>
      <w:b/>
      <w:color w:val="14304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Aptos" w:hAnsi="Aptos"/>
      <w:color w:val="5864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Technical design specification</dc:description>
  <cp:lastModifiedBy/>
  <cp:revision>1</cp:revision>
  <dcterms:created xsi:type="dcterms:W3CDTF">2013-12-23T23:15:00Z</dcterms:created>
  <dcterms:modified xsi:type="dcterms:W3CDTF">2013-12-23T23:15:00Z</dcterms:modified>
  <cp:category/>
</cp:coreProperties>
</file>