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“营运管理”模块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技术分析报告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功能点列表 · 数据库设计 · API接口 · 前端页面 · 技术难点</w:t>
      </w:r>
    </w:p>
    <w:p>
      <w:pPr>
        <w:spacing w:before="1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2026年2月15日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一、详细功能点列表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1.1 合同台账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按项目/合同类型/合同状态/合同到期/应收到期/合同编号等多条件筛选，分页展示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合同台账自动生成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招商合同完成审批后自动进入合同台账，生成台账记录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合同台账详情查看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查看合同台账完整信息（合同信息/费项/应收/商铺等）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双签管理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记录合同双方签署状态，支持线上确认或手动标记双签完成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生成应收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根据合同费项和账期自动生成应收计划明细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合同台账审核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对生成的合同台账进行审核确认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应收自动推送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审批完成后自动推送应收数据至财务系统，无需手动操作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一次性首款录入-单笔应收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录入单笔一次性收取的费用应收记录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一次性首款录入-多笔应收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批量录入多笔一次性费用应收记录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一次性首款录入-历史账期处理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处理历史账期中的一次性费用补录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合同到期预警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合同即将到期时自动提醒（站内信/短信/邮件）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应收到期预警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应收款即将到期时自动提醒相关人员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1.2 合同变更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按项目/状态/品牌名商家名/合同编号等多维度筛选，分页展示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录入合同编号，选择变更类型，录入变更信息，生成补充协议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变更类型-租金信息变更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调整合同租金金额/单价/计租方式，重新生成应收计划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变更类型-品牌信息变更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更换合同关联品牌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变更类型-租户/主体信息变更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变更合同乙方/签约主体信息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变更类型-租费单价变更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调整各费项单价，联动重算应收计划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变更类型-合同条款变更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修改合同具体条款内容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变更类型-租期变更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延长/缩短合同租期，联动调整账期和应收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变更类型-面积变更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调整合同关联商铺面积，联动重算租金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变更类型-公司名称变更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变更甲方/乙方公司名称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应收计划调整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变更生效后自动重新生成受影响的应收计划明细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变更提交后发起审批流程，支持对接OA系统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变更历史记录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记录合同每次变更的完整历史（变更前/变更后对比）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CC-14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变更影响分析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变更前预览影响范围（受影响的应收笔数/金额差异）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1.3 营收填报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按项目/合同类型/状态/日期等多条件筛选租赁合同营收填报信息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按日期录入各商铺/商家的实际营业额数据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营收填报批量导入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Excel批量导入营收数据，含数据校验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导出营收填报数据报表（Excel）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导出模板下载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下载营收填报标准导入模板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生成浮动租金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根据完整月营业额自动计算生成浮动租金应收明细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营收数据校验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校验填报数据完整性（是否覆盖整月）及合理性（异常值检测）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营收数据汇总统计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按项目/楼栋/楼层/业态汇总营收数据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1.4 客流填报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PF-01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客流填报列表查询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按项目/日期等条件筛选客流数据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PF-02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客流数据录入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按日期录入项目/楼栋/楼层的客流人数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PF-03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客流数据导入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Excel批量导入客流数据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PF-04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客流数据导出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导出客流统计报表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PF-05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客流汇总统计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按项目/楼栋/日期维度汇总客流趋势数据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1.5 合同解约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960"/>
        <w:gridCol w:w="1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合同解约列表查询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按项目/解约状态/乙方名称/品牌/铺位号/合同编号等筛选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合同解约新增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选择项目/租赁合同，录入解约日期/解约类型/解约原因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解约类型-到期解约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合同到期自然终止，清算剩余费用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解约类型-提前解约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合同未到期提前终止，计算违约金/补偿费用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解约类型-重签解约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因重签新合同而解除原合同，关联新合同编号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解约费用清算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自动计算解约日前未收/已收费用、违约金、保证金退还等清算明细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解约审批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提交OA审批流程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解约生效后处理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审批通过后自动更新合同状态、商铺状态、作废未到期应收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解约修改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修改未提交审批的解约单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CT-10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解约详情查看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查看解约单详情、清算明细、审批流程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二、数据库表结构建议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以下为营运管理模块核心数据库表设计。所有表均含统一审计字段（created_by, created_at, updated_by, updated_at, is_deleted），以下省略。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opr_contract_ledger（合同台账表）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台账编号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关联租赁合同ID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合同类型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合同开始日期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合同结束日期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double_sign_status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双签状态（0未完成/1已完成）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double_sign_date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双签完成时间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应收生成状态（0未生成/1已生成/2已推送）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审核状态（0待审核/1通过/2驳回）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台账状态（0进行中/1已完成/2已解约）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应收推送时间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opr_receivable_plan（应收计划表）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费项名称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账期开始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账期结束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已收金额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状态（0待收/1部分收款/2已收/3已作废）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推送状态（0未推送/1已推送）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推送财务时间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来源（1合同生成/2变更生成/3浮动租金/4一次性录入）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版本号（变更后重生时递增）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opr_one_time_payment（一次性首款记录表）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fee_item_id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收款项目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账期开始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billing_end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账期结束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entry_type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录入类型（1单笔/2多笔/3历史账期）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opr_contract_change（合同变更表）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原合同ID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关联台账ID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变更类型（多选，逗号分隔）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状态（0草稿/1审批中/2通过/3驳回）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effective_date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变更生效日期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审批流程实例ID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opr_contract_change_detail（合同变更明细表）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变更字段名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field_label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字段中文名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old_value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变更前值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变更后值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数据类型（string/decimal/date等）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opr_contract_change_snapshot（合同变更快照表）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change_id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快照类型（1合同主表/2费项/3应收）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snapshot_data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快照数据（JSON）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opr_revenue_report（营收填报表）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填报日期（具体某天）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填报月份（YYYY-MM）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revenue_amount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营业额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状态（0待确认/1已确认）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opr_floating_rent（浮动租金表）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计算月份（YYYY-MM）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monthly_revenue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月营业额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fixed_rent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固定租金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提成比例（%）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commission_amount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提成金额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floating_rent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浮动租金（取高后差额或提成结果）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calc_formula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计算公式说明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receivable_id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关联生成的应收记录ID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opr_passenger_flow（客流填报表）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楼栋ID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楼层ID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report_date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填报日期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flow_count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客流人数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source_type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数据来源（1手动/2导入/3设备对接）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opr_contract_termination（合同解约表）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termination_code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解约单号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原合同ID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ledger_id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关联台账ID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项目ID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商家ID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品牌ID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shop_id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商铺ID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解约类型（1到期/2提前/3重签）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解约日期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解约原因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new_contract_id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重签新合同ID（重签解约时）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penalty_amount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违约金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refund_deposit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退还保证金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unsettled_amount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未结算应收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settlement_amount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清算总额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状态（0草稿/1审批中/2已生效/3驳回）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审批流程ID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opr_termination_settlement（解约清算明细表）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termination_id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FK,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解约单ID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明细类型（1未收租金/2违约金/3保证金退还/4其他费用）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item_name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明细名称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DECIMAL(14,2)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金额（正数为应收，负数为应退）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备注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三、API接口设计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RESTful风格，统一前缀 /api/v1/operation，响应格式 { code, message, data }。认证采用JWT Token。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3.1 合同台账 /api/v1/operation/ledgers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合同台账列表查询（分页+多条件筛选）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台账详情（含合同/费项/应收/商铺信息）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/ledgers/{id}/double-sign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确认双签完成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/ledgers/{id}/generate-receivable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生成应收计划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/ledgers/{id}/audit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审核台账（通过/驳回）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/ledgers/{id}/push-receivable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推送应收至财务系统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/ledgers/{id}/one-time-payment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一次性首款录入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/ledgers/{id}/receivables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获取台账应收计划列表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3.2 应收计划 /api/v1/operation/receivables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应收计划列表查询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/receivables/{id}/void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作废应收记录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/receivables/overdue-alerts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应收到期预警列表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/receivables/statistics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应收统计汇总（按项目/状态/费项）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3.3 合同变更 /api/v1/operation/contract-changes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变更详情（含变更明细、对比、快照）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新增合同变更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修改变更单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/contract-changes/{id}/preview-impact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预览变更影响（受影响应收笔数/金额差异）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/contract-changes/{id}/submit-approval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提交审批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/contract-changes/history/{contractId}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查看合同变更历史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3.4 营收填报 /api/v1/operation/revenue-reports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录入营收填报数据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修改填报数据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/revenue-reports/export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导出营收报表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/revenue-reports/template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下载导入模板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/revenue-reports/generate-floating-rent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生成浮动租金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/revenue-reports/statistics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营收汇总统计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3.5 客流填报 /api/v1/operation/passenger-flows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/passenger-flows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客流填报列表查询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/passenger-flows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录入客流数据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/passenger-flows/import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Excel批量导入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/passenger-flows/export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导出客流报表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/passenger-flows/statistics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客流汇总统计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3.6 合同解约 /api/v1/operation/terminations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合同解约列表查询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解约详情（含清算明细、审批流程）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新增解约单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修改解约单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/terminations/{id}/calculate-settlement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自动计算解约清算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/terminations/{id}/submit-approval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提交OA审批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/terminations/{id}/execute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解约生效执行（更新合同/商铺状态、作废应收）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四、前端页面清单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基于Vue3 + Element Plus / React + Ant Design Pro，采用动态路由与角色权限控制。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页面/组件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核心交互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台账列表页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/opr/ledgers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表格+多条件筛选+到期预警标红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台账详情页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/opr/ledgers/:id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Tab页（合同信息/应收计划/双签/审核）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应收计划面板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应收明细表+状态标签+推送按钮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一次性首款录入弹窗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单笔/多笔/历史账期三种Tab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合同台账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合同到期预警页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/opr/alerts/contract-expiry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预警列表+倒计时+快捷操作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/opr/contract-changes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表格+状态筛选+变更类型标签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变更新增/编辑页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/opr/contract-changes/form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合同选择→变更类型→动态表单→影响预览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变更影响预览面板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变更前后对比表+应收差异汇总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合同变更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变更历史时间线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时间线展示历次变更记录+快照对比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/opr/revenue-reports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表格+日期范围筛选+导入导出按钮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营收录入页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/opr/revenue-reports/form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日历视图+按日录入+月度汇总展示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浮动租金计算结果页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/opr/floating-rent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计算明细表+公式展示+应收生成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营收填报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导入弹窗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文件上传+校验进度+错误列表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客流填报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客流填报列表页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/opr/passenger-flows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表格+日期/项目筛选+趋势图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客流填报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客流录入页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/opr/passenger-flows/form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按日录入+楼栋/楼层级联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解约列表页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/opr/terminations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表格+状态筛选+解约类型标签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解约新增/编辑页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/opr/terminations/form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合同选择→解约信息→自动清算→提交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解约清算明细面板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嵌入组件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清算明细表+违约金+保证金退还+总额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合同解约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解约详情页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/opr/terminations/:id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解约信息+清算明细+审批流程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审批流程组件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流程时间线+节点状态+审批意见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合同选择器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搜索合同编号/名称+带出关联信息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公共组件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应收日历视图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日历上标注应收日期+状态颜色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五、技术难点识别与应对方案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1. 合同变更后应收计划的自动重算与差异处理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合同变更涉及租金/单价/租期/面积等多种类型，每种变更对应收计划的影响范围不同。租期变更需新增/删除账期，单价变更需重算未到期账期金额，面积变更影响全部费项。已推送财务的应收不能直接修改，需生成调整单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设计应收重算策略引擎，按变更类型分别实现重算逻辑；已推送应收采用“红冲+新增”模式（作废原记录+生成新记录）；应收记录增加version字段追踪变更；提供变更前影响预览API让用户确认。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2. 浮动租金计算引擎（多计费模式适配）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浮动租金需根据实际营业额计算，支持“固定提成”“阶梯提成”“两者取其高”等多种模式。阶梯提成涉及多档位累进计算，取高模式需同时计算固定和提成后取较大值。月度营收数据不完整时不应计算，需校验填报完整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抽象FloatingRentCalculator接口，按计费模式实现不同策略；阶梯提成采用累进计算法，透明化展示每档位的计算过程；月度数据完整性检查（是否覆盖全月每天）作为计算前置条件；计算结果保存公式和过程数据便于审计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3. 应收推送与财务系统集成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合同台账审批完成后需自动推送应收数据至财务系统。推送可能失败（网络异常/财务系统不可用），需保证数据一致性和幂等性。合同变更后的红冲+新增操作也需同步推送。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采用消息队列（RabbitMQ/Kafka）异步推送，保证解耦和可靠性；推送记录表记录每次推送状态；失败自动重试（指数退避）；提供手动重推入口；推送数据携带幂等键防止重复处理。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4. 解约清算的复杂费用计算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高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合同解约清算需综合计算：解约日前已到期未收的租金、解约日当期按日折算的租金、提前解约违约金、保证金退还、剩余账期作废等。不同解约类型（到期/提前/重签）的计算逻辑差异大。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设计TerminationSettlementEngine，按解约类型分别实现清算策略；当期租金按日折算采用精确天数计算；清算结果拆分为明细项（未收租金/违约金/保证金退还等）便于审核；解约生效后自动作废未到期应收并释放商铺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5. 合同变更的历史追溯与快照机制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合同可能经历多次变更，需要完整记录每次变更的前后对比。变更涉及的字段分布在多张表中（合同主表/费项表/应收表），快照数据量大且结构复杂。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变更时自动生成变更前快照（JSON序列化存入snapshot表）；变更明细表记录字段级别的新旧值对比；前端提供时间线视图展示变更历史；快照数据采用压缩存储节省空间；老旧快照定期归档。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6. 合同台账与招商合同模块的数据流转一致性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合同台账由招商合同审批通过后自动生成，涉及跨模块数据流转。招商合同状态变更、合同台账生成、应收生成等多步骤需保证事务一致性。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采用事件驱动架构，招商合同审批通过发布事件，营运模块监听并生成台账；关键步骤使用数据库事务；异常时自动重试+人工干预入口；流转状态机记录全过程。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7. 营收数据填报的时间粒度与异常检测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营收按日填报，浮动租金按月计算，存在时间粒度转换。填报可能存在漏填、重复填、异常值（如某日营收突然激增10倍）等问题。批量导入时日期格式校验复杂。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按月度管理填报状态（未填/部分填/已完成）；设置异常值预警阈值（如偏差超过历史3个标准差触发警告）；填报日历视图直观展示缺失日期；重复数据自动检测并提示；导入模板强制日期格式。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8. 解约生效后的多系统状态联动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合同解约生效后需联动：合同状态→已终止、商铺状态→空置、未到期应收→作废、台账状态→已解约。多张表状态需原子性更新，且需通知财务系统作废对应应收。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解约执行封装为事务性服务方法，统一更新所有关联状态；通过消息队列异步通知财务系统；设计状态机确保合法状态转换；异常时支持手动补偿和管理员介入。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9. 合同到期/应收到期的智能预警机制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难度等级：</w:t>
      </w:r>
      <w:r>
        <w:rPr>
          <w:rFonts w:ascii="Arial" w:cs="Arial" w:eastAsia="Arial" w:hAnsi="Arial"/>
          <w:b/>
          <w:bCs/>
          <w:color w:val="BF8F00"/>
          <w:sz w:val="20"/>
          <w:szCs w:val="20"/>
        </w:rPr>
        <w:t xml:space="preserve">中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问题描述：</w:t>
      </w:r>
      <w:r>
        <w:rPr>
          <w:rFonts w:ascii="Arial" w:cs="Arial" w:eastAsia="Arial" w:hAnsi="Arial"/>
          <w:sz w:val="20"/>
          <w:szCs w:val="20"/>
        </w:rPr>
        <w:t xml:space="preserve">需支持合同到期和应收到期的多级预警（30天/15天/7天），通过站内信/邮件/短信多渠道通知。预警需避免重复发送，且在合同解约/续签后自动取消。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应对方案：</w:t>
      </w:r>
      <w:r>
        <w:rPr>
          <w:rFonts w:ascii="Arial" w:cs="Arial" w:eastAsia="Arial" w:hAnsi="Arial"/>
          <w:color w:val="1F4E79"/>
          <w:sz w:val="20"/>
          <w:szCs w:val="20"/>
        </w:rPr>
        <w:t xml:space="preserve">使用定时任务（XXL-Job）每日扫描即将到期的合同/应收；预警记录表标记已发送状态避免重复；统一消息服务封装多渠道发送；合同解约/续签时触发取消未发送预警。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营运管理模块 - 技术分析报告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2026-02-14T21:52:11.317Z</dcterms:created>
  <dcterms:modified xsi:type="dcterms:W3CDTF">2026-02-14T21:52:11.318Z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