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AI 使用反馈周报</w:t>
      </w:r>
    </w:p>
    <w:p>
      <w:pPr>
        <w:spacing w:after="200" w:line="264" w:lineRule="auto"/>
      </w:pPr>
      <w:r>
        <w:rPr>
          <w:rFonts w:ascii="Calibri" w:hAnsi="Calibri" w:eastAsia="Microsoft YaHei"/>
          <w:color w:val="555555"/>
          <w:sz w:val="22"/>
        </w:rPr>
        <w:t>基于 Axhub Make 项目内容整理，覆盖财税、记账、报表配置与中后台原型资产。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3A5F"/>
                <w:sz w:val="21"/>
              </w:rPr>
              <w:t>打开说明：</w:t>
            </w:r>
            <w:r>
              <w:rPr>
                <w:rFonts w:ascii="Calibri" w:hAnsi="Calibri" w:eastAsia="Microsoft YaHei"/>
                <w:color w:val="1F3A5F"/>
                <w:sz w:val="21"/>
              </w:rPr>
              <w:t>本文档中的 Markdown 文件链接使用项目相对路径。若要让别人点击打开，请把 Word 文件与项目目录一起发送，或将这些文件提交到同一代码仓库后共享仓库地址。</w:t>
            </w:r>
          </w:p>
        </w:tc>
      </w:tr>
    </w:tbl>
    <w:p>
      <w:pPr>
        <w:pStyle w:val="Heading1"/>
      </w:pPr>
      <w:r>
        <w:t>使用工具与 Skill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sz w:val="22"/>
        </w:rPr>
        <w:t>使用工具：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Codex / ChatGPT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本地项目文件检索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需求文档阅读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原型规格整理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代码结构分析</w:t>
      </w:r>
    </w:p>
    <w:p>
      <w:pPr>
        <w:spacing w:before="80" w:after="40" w:line="264" w:lineRule="auto"/>
      </w:pPr>
      <w:r>
        <w:rPr>
          <w:rFonts w:ascii="Calibri" w:hAnsi="Calibri" w:eastAsia="Microsoft YaHei"/>
          <w:b/>
          <w:sz w:val="22"/>
        </w:rPr>
        <w:t>使用 Skill：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AGENTS.md 项目工作流规范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rules/design-guide.md 设计规范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rules/development-guide.md 开发与验收规范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服务商设计规范：用于 B 端工作台类页面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ui-ux-pro-max：用于财税管理后台登录页视觉方向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Axhub Make 原型 / 文档协作流程</w:t>
      </w:r>
    </w:p>
    <w:p>
      <w:pPr>
        <w:pStyle w:val="Heading1"/>
      </w:pPr>
      <w:r>
        <w:t>关键 Prompt</w:t>
      </w:r>
    </w:p>
    <w:p>
      <w:pPr>
        <w:spacing w:line="264" w:lineRule="auto"/>
      </w:pPr>
      <w:r>
        <w:rPr>
          <w:rFonts w:ascii="Calibri" w:hAnsi="Calibri" w:eastAsia="Microsoft YaHei"/>
          <w:sz w:val="22"/>
        </w:rPr>
        <w:t>请 AI 按照 Axhub Make 项目规范，扮演“产品经理 + UI/UX 设计师 + 前端开发”的复合角色，结合已有需求文档、spec.md、原型代码和主题规范，整理财税 / 记账 / 报表类业务原型的 AI 使用反馈周报，重点说明最终产出、达成效果、与预期差距及可复用经验。</w:t>
      </w:r>
    </w:p>
    <w:p>
      <w:pPr>
        <w:pStyle w:val="Heading1"/>
      </w:pPr>
      <w:r>
        <w:t>最终产出</w:t>
      </w:r>
    </w:p>
    <w:p>
      <w:pPr>
        <w:spacing w:line="264" w:lineRule="auto"/>
      </w:pPr>
      <w:r>
        <w:rPr>
          <w:rFonts w:ascii="Calibri" w:hAnsi="Calibri" w:eastAsia="Microsoft YaHei"/>
          <w:sz w:val="22"/>
        </w:rPr>
        <w:t>本次项目中 AI 主要围绕财税与中后台业务场景，沉淀了从需求到原型的可复用资产。</w:t>
      </w:r>
    </w:p>
    <w:p>
      <w:pPr>
        <w:pStyle w:val="Heading2"/>
      </w:pPr>
      <w:r>
        <w:t>1. 后台报表规则模板配置原型</w:t>
      </w:r>
    </w:p>
    <w:p>
      <w:pPr>
        <w:spacing w:line="264" w:lineRule="auto"/>
      </w:pPr>
      <w:r>
        <w:rPr>
          <w:rFonts w:ascii="Calibri" w:hAnsi="Calibri" w:eastAsia="Microsoft YaHei"/>
          <w:sz w:val="22"/>
        </w:rPr>
        <w:t>面向后台会计，支持按会计准则维护资产负债表、利润表的初始规则模板，包含总览页、配置页、科目取数规则、表内公式、发布校验等核心流程。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sz w:val="22"/>
        </w:rPr>
        <w:t>相关文件：</w:t>
      </w:r>
    </w:p>
    <w:p>
      <w:pPr>
        <w:pStyle w:val="ListBullet"/>
        <w:spacing w:after="80"/>
      </w:pPr>
      <w:hyperlink r:id="rId11">
        <w:r>
          <w:rPr>
            <w:rStyle w:val="Hyperlink"/>
          </w:rPr>
          <w:t>src/prototypes/report-rule-configuration/spec.md</w:t>
        </w:r>
      </w:hyperlink>
    </w:p>
    <w:p>
      <w:pPr>
        <w:pStyle w:val="ListBullet"/>
        <w:spacing w:after="80"/>
      </w:pPr>
      <w:hyperlink r:id="rId12">
        <w:r>
          <w:rPr>
            <w:rStyle w:val="Hyperlink"/>
          </w:rPr>
          <w:t>src/prototypes/report-rule-configuration/index.tsx</w:t>
        </w:r>
      </w:hyperlink>
    </w:p>
    <w:p>
      <w:pPr>
        <w:pStyle w:val="ListBullet"/>
        <w:spacing w:after="80"/>
      </w:pPr>
      <w:hyperlink r:id="rId13">
        <w:r>
          <w:rPr>
            <w:rStyle w:val="Hyperlink"/>
          </w:rPr>
          <w:t>src/docs/后台报表规则模板配置PRD.md</w:t>
        </w:r>
      </w:hyperlink>
    </w:p>
    <w:p>
      <w:pPr>
        <w:pStyle w:val="ListBullet"/>
        <w:spacing w:after="80"/>
      </w:pPr>
      <w:hyperlink r:id="rId14">
        <w:r>
          <w:rPr>
            <w:rStyle w:val="Hyperlink"/>
          </w:rPr>
          <w:t>open-design-artifacts/report-rule-configuration/index.html</w:t>
        </w:r>
      </w:hyperlink>
    </w:p>
    <w:p>
      <w:pPr>
        <w:pStyle w:val="Heading2"/>
      </w:pPr>
      <w:r>
        <w:t>2. 凭证附件管理需求沉淀</w:t>
      </w:r>
    </w:p>
    <w:p>
      <w:pPr>
        <w:spacing w:line="264" w:lineRule="auto"/>
      </w:pPr>
      <w:r>
        <w:rPr>
          <w:rFonts w:ascii="Calibri" w:hAnsi="Calibri" w:eastAsia="Microsoft YaHei"/>
          <w:sz w:val="22"/>
        </w:rPr>
        <w:t>梳理了录凭证、查凭证、编辑凭证、打印、权限与日志等附件管理能力，明确附件数量、上传、查看、删除、审计追溯等业务规则。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sz w:val="22"/>
        </w:rPr>
        <w:t>相关文件：</w:t>
      </w:r>
    </w:p>
    <w:p>
      <w:pPr>
        <w:pStyle w:val="ListBullet"/>
        <w:spacing w:after="80"/>
      </w:pPr>
      <w:hyperlink r:id="rId15">
        <w:r>
          <w:rPr>
            <w:rStyle w:val="Hyperlink"/>
          </w:rPr>
          <w:t>src/docs/凭证附件管理需求文档.md</w:t>
        </w:r>
      </w:hyperlink>
    </w:p>
    <w:p>
      <w:pPr>
        <w:pStyle w:val="Heading2"/>
      </w:pPr>
      <w:r>
        <w:t>3. 查凭证页面高保真原型</w:t>
      </w:r>
    </w:p>
    <w:p>
      <w:pPr>
        <w:spacing w:line="264" w:lineRule="auto"/>
      </w:pPr>
      <w:r>
        <w:rPr>
          <w:rFonts w:ascii="Calibri" w:hAnsi="Calibri" w:eastAsia="Microsoft YaHei"/>
          <w:sz w:val="22"/>
        </w:rPr>
        <w:t>还原“猪哥云记账平台”查凭证页面，包含左侧导航、账套栏、凭证表格、附单据入口与附件弹窗。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sz w:val="22"/>
        </w:rPr>
        <w:t>相关文件：</w:t>
      </w:r>
    </w:p>
    <w:p>
      <w:pPr>
        <w:pStyle w:val="ListBullet"/>
        <w:spacing w:after="80"/>
      </w:pPr>
      <w:hyperlink r:id="rId16">
        <w:r>
          <w:rPr>
            <w:rStyle w:val="Hyperlink"/>
          </w:rPr>
          <w:t>src/prototypes/voucherlist/spec.md</w:t>
        </w:r>
      </w:hyperlink>
    </w:p>
    <w:p>
      <w:pPr>
        <w:pStyle w:val="ListBullet"/>
        <w:spacing w:after="80"/>
      </w:pPr>
      <w:hyperlink r:id="rId17">
        <w:r>
          <w:rPr>
            <w:rStyle w:val="Hyperlink"/>
          </w:rPr>
          <w:t>src/prototypes/voucherlist/index.tsx</w:t>
        </w:r>
      </w:hyperlink>
    </w:p>
    <w:p>
      <w:pPr>
        <w:pStyle w:val="Heading2"/>
      </w:pPr>
      <w:r>
        <w:t>4. 财税管理后台登录页原型</w:t>
      </w:r>
    </w:p>
    <w:p>
      <w:pPr>
        <w:spacing w:line="264" w:lineRule="auto"/>
      </w:pPr>
      <w:r>
        <w:rPr>
          <w:rFonts w:ascii="Calibri" w:hAnsi="Calibri" w:eastAsia="Microsoft YaHei"/>
          <w:sz w:val="22"/>
        </w:rPr>
        <w:t>面向企业财务、税务专员、代账服务人员，设计了包含租户选择、账号登录、安全提示、申报摘要的登录入口。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sz w:val="22"/>
        </w:rPr>
        <w:t>相关文件：</w:t>
      </w:r>
    </w:p>
    <w:p>
      <w:pPr>
        <w:pStyle w:val="ListBullet"/>
        <w:spacing w:after="80"/>
      </w:pPr>
      <w:hyperlink r:id="rId18">
        <w:r>
          <w:rPr>
            <w:rStyle w:val="Hyperlink"/>
          </w:rPr>
          <w:t>src/prototypes/tax-admin-login/spec.md</w:t>
        </w:r>
      </w:hyperlink>
    </w:p>
    <w:p>
      <w:pPr>
        <w:pStyle w:val="ListBullet"/>
        <w:spacing w:after="80"/>
      </w:pPr>
      <w:hyperlink r:id="rId19">
        <w:r>
          <w:rPr>
            <w:rStyle w:val="Hyperlink"/>
          </w:rPr>
          <w:t>src/prototypes/tax-admin-login/index.tsx</w:t>
        </w:r>
      </w:hyperlink>
    </w:p>
    <w:p>
      <w:pPr>
        <w:pStyle w:val="Heading2"/>
      </w:pPr>
      <w:r>
        <w:t>5. 可复用组件资产</w:t>
      </w:r>
    </w:p>
    <w:p>
      <w:pPr>
        <w:spacing w:line="264" w:lineRule="auto"/>
      </w:pPr>
      <w:r>
        <w:rPr>
          <w:rFonts w:ascii="Calibri" w:hAnsi="Calibri" w:eastAsia="Microsoft YaHei"/>
          <w:sz w:val="22"/>
        </w:rPr>
        <w:t>沉淀了侧边菜单、按钮、ECharts 折线图等组件规格与实现，便于后续中后台原型复用。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sz w:val="22"/>
        </w:rPr>
        <w:t>相关文件：</w:t>
      </w:r>
    </w:p>
    <w:p>
      <w:pPr>
        <w:pStyle w:val="ListBullet"/>
        <w:spacing w:after="80"/>
      </w:pPr>
      <w:hyperlink r:id="rId20">
        <w:r>
          <w:rPr>
            <w:rStyle w:val="Hyperlink"/>
          </w:rPr>
          <w:t>src/components/side-menu/spec.md</w:t>
        </w:r>
      </w:hyperlink>
    </w:p>
    <w:p>
      <w:pPr>
        <w:pStyle w:val="ListBullet"/>
        <w:spacing w:after="80"/>
      </w:pPr>
      <w:hyperlink r:id="rId21">
        <w:r>
          <w:rPr>
            <w:rStyle w:val="Hyperlink"/>
          </w:rPr>
          <w:t>src/components/ref-button/spec.md</w:t>
        </w:r>
      </w:hyperlink>
    </w:p>
    <w:p>
      <w:pPr>
        <w:pStyle w:val="ListBullet"/>
        <w:spacing w:after="80"/>
      </w:pPr>
      <w:hyperlink r:id="rId22">
        <w:r>
          <w:rPr>
            <w:rStyle w:val="Hyperlink"/>
          </w:rPr>
          <w:t>src/components/ref-line-chart/spec.md</w:t>
        </w:r>
      </w:hyperlink>
    </w:p>
    <w:p>
      <w:pPr>
        <w:pStyle w:val="Heading1"/>
      </w:pPr>
      <w:r>
        <w:t>效果评估</w:t>
      </w:r>
    </w:p>
    <w:p>
      <w:pPr>
        <w:pStyle w:val="Heading2"/>
      </w:pPr>
      <w:r>
        <w:t>预期目标</w:t>
      </w:r>
    </w:p>
    <w:p>
      <w:pPr>
        <w:spacing w:line="264" w:lineRule="auto"/>
      </w:pPr>
      <w:r>
        <w:rPr>
          <w:rFonts w:ascii="Calibri" w:hAnsi="Calibri" w:eastAsia="Microsoft YaHei"/>
          <w:sz w:val="22"/>
        </w:rPr>
        <w:t>希望 AI 帮助把零散业务需求快速整理成结构化文档，并进一步转化为可运行、可评审、可维护的原型资产，降低产品、设计、前端之间的沟通成本。</w:t>
      </w:r>
    </w:p>
    <w:p>
      <w:pPr>
        <w:pStyle w:val="Heading2"/>
      </w:pPr>
      <w:r>
        <w:t>实际结果</w:t>
      </w:r>
    </w:p>
    <w:p>
      <w:pPr>
        <w:spacing w:line="264" w:lineRule="auto"/>
      </w:pPr>
      <w:r>
        <w:rPr>
          <w:rFonts w:ascii="Calibri" w:hAnsi="Calibri" w:eastAsia="Microsoft YaHei"/>
          <w:sz w:val="22"/>
        </w:rPr>
        <w:t>AI 已帮助项目形成“需求文档 → spec.md 规格 → 原型代码 → 可复用组件 / 主题”的工作链路。财税、记账、报表配置、凭证附件等复杂业务不再停留在文字描述，而是被拆成页面结构、交互规则、数据字段、状态反馈和验收要点。</w:t>
      </w:r>
    </w:p>
    <w:p>
      <w:pPr>
        <w:spacing w:line="264" w:lineRule="auto"/>
      </w:pPr>
      <w:r>
        <w:rPr>
          <w:rFonts w:ascii="Calibri" w:hAnsi="Calibri" w:eastAsia="Microsoft YaHei"/>
          <w:sz w:val="22"/>
        </w:rPr>
        <w:t>通过这一流程，团队可以更快进入评审与确认阶段：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产品侧可以基于 PRD、用户故事和验收标准检查业务范围。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设计侧可以基于 spec.md 明确布局、信息层级和视觉规范。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前端侧可以基于原型目录和组件目录继续扩展交互与数据接入。</w:t>
      </w:r>
    </w:p>
    <w:p>
      <w:pPr>
        <w:pStyle w:val="Heading2"/>
      </w:pPr>
      <w:r>
        <w:t>结果与预期差距</w:t>
      </w:r>
    </w:p>
    <w:p>
      <w:pPr>
        <w:spacing w:line="264" w:lineRule="auto"/>
      </w:pPr>
      <w:r>
        <w:rPr>
          <w:rFonts w:ascii="Calibri" w:hAnsi="Calibri" w:eastAsia="Microsoft YaHei"/>
          <w:sz w:val="22"/>
        </w:rPr>
        <w:t>整体达成预期。</w:t>
      </w:r>
    </w:p>
    <w:p>
      <w:pPr>
        <w:spacing w:line="264" w:lineRule="auto"/>
      </w:pPr>
      <w:r>
        <w:rPr>
          <w:rFonts w:ascii="Calibri" w:hAnsi="Calibri" w:eastAsia="Microsoft YaHei"/>
          <w:sz w:val="22"/>
        </w:rPr>
        <w:t>主要差距在于：部分原型仍偏静态展示，真实数据联动、权限控制、接口异常、批量操作等生产级逻辑还需要后续继续补齐；另外，部分页面还需要补充截图验收或运行验收记录，方便团队评审时更直观看到交付效果。</w:t>
      </w:r>
    </w:p>
    <w:p>
      <w:pPr>
        <w:pStyle w:val="Heading1"/>
      </w:pPr>
      <w:r>
        <w:t>七、经验沉淀</w:t>
      </w:r>
    </w:p>
    <w:p>
      <w:pPr>
        <w:pStyle w:val="ListBullet"/>
        <w:spacing w:after="100"/>
      </w:pPr>
      <w:r>
        <w:rPr>
          <w:rFonts w:ascii="Calibri" w:hAnsi="Calibri" w:eastAsia="Microsoft YaHei"/>
          <w:b/>
          <w:sz w:val="21"/>
        </w:rPr>
        <w:t>有效 Prompt：</w:t>
      </w:r>
      <w:r>
        <w:rPr>
          <w:rFonts w:ascii="Calibri" w:hAnsi="Calibri" w:eastAsia="Microsoft YaHei"/>
          <w:sz w:val="21"/>
        </w:rPr>
        <w:t>先要求 AI 阅读 AGENTS.md、业务文档和关联 spec.md，再让 AI 输出方案，效果明显优于直接让 AI 写页面。</w:t>
      </w:r>
    </w:p>
    <w:p>
      <w:pPr>
        <w:pStyle w:val="ListBullet"/>
        <w:spacing w:after="100"/>
      </w:pPr>
      <w:r>
        <w:rPr>
          <w:rFonts w:ascii="Calibri" w:hAnsi="Calibri" w:eastAsia="Microsoft YaHei"/>
          <w:b/>
          <w:sz w:val="21"/>
        </w:rPr>
        <w:t>推荐工作流：</w:t>
      </w:r>
      <w:r>
        <w:rPr>
          <w:rFonts w:ascii="Calibri" w:hAnsi="Calibri" w:eastAsia="Microsoft YaHei"/>
          <w:sz w:val="21"/>
        </w:rPr>
        <w:t>需求文档先定义业务边界和验收标准，再生成 spec.md，最后实现原型。</w:t>
      </w:r>
    </w:p>
    <w:p>
      <w:pPr>
        <w:pStyle w:val="ListBullet"/>
        <w:spacing w:after="100"/>
      </w:pPr>
      <w:r>
        <w:rPr>
          <w:rFonts w:ascii="Calibri" w:hAnsi="Calibri" w:eastAsia="Microsoft YaHei"/>
          <w:b/>
          <w:sz w:val="21"/>
        </w:rPr>
        <w:t>优秀 Skill：</w:t>
      </w:r>
      <w:r>
        <w:rPr>
          <w:rFonts w:ascii="Calibri" w:hAnsi="Calibri" w:eastAsia="Microsoft YaHei"/>
          <w:sz w:val="21"/>
        </w:rPr>
        <w:t>服务商设计规范适合报表配置、财务工作台、表格密集型页面；ui-ux-pro-max 适合登录页、门户类页面的视觉方案探索。</w:t>
      </w:r>
    </w:p>
    <w:p>
      <w:pPr>
        <w:pStyle w:val="ListBullet"/>
        <w:spacing w:after="100"/>
      </w:pPr>
      <w:r>
        <w:rPr>
          <w:rFonts w:ascii="Calibri" w:hAnsi="Calibri" w:eastAsia="Microsoft YaHei"/>
          <w:b/>
          <w:sz w:val="21"/>
        </w:rPr>
        <w:t>提效技巧：</w:t>
      </w:r>
      <w:r>
        <w:rPr>
          <w:rFonts w:ascii="Calibri" w:hAnsi="Calibri" w:eastAsia="Microsoft YaHei"/>
          <w:sz w:val="21"/>
        </w:rPr>
        <w:t>复杂后台页面不要一次性让 AI 自由发挥，应先固定信息架构、关键字段、操作流程和状态规则。</w:t>
      </w:r>
    </w:p>
    <w:p>
      <w:pPr>
        <w:pStyle w:val="ListBullet"/>
        <w:spacing w:after="100"/>
      </w:pPr>
      <w:r>
        <w:rPr>
          <w:rFonts w:ascii="Calibri" w:hAnsi="Calibri" w:eastAsia="Microsoft YaHei"/>
          <w:b/>
          <w:sz w:val="21"/>
        </w:rPr>
        <w:t>常见问题：</w:t>
      </w:r>
      <w:r>
        <w:rPr>
          <w:rFonts w:ascii="Calibri" w:hAnsi="Calibri" w:eastAsia="Microsoft YaHei"/>
          <w:sz w:val="21"/>
        </w:rPr>
        <w:t>如果只给一句需求，AI 容易输出泛化页面；补充角色、业务目标、MVP 范围、验收标准后，原型质量会稳定很多。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Axhub Make 项目交付资料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8"/>
      </w:rPr>
      <w:t>AI 使用反馈周报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prototypes/report-rule-configuration/spec.md" TargetMode="External"/><Relationship Id="rId12" Type="http://schemas.openxmlformats.org/officeDocument/2006/relationships/hyperlink" Target="../prototypes/report-rule-configuration/index.tsx" TargetMode="External"/><Relationship Id="rId13" Type="http://schemas.openxmlformats.org/officeDocument/2006/relationships/hyperlink" Target="&#21518;&#21488;&#25253;&#34920;&#35268;&#21017;&#27169;&#26495;&#37197;&#32622;PRD.md" TargetMode="External"/><Relationship Id="rId14" Type="http://schemas.openxmlformats.org/officeDocument/2006/relationships/hyperlink" Target="../../open-design-artifacts/report-rule-configuration/index.html" TargetMode="External"/><Relationship Id="rId15" Type="http://schemas.openxmlformats.org/officeDocument/2006/relationships/hyperlink" Target="&#20973;&#35777;&#38468;&#20214;&#31649;&#29702;&#38656;&#27714;&#25991;&#26723;.md" TargetMode="External"/><Relationship Id="rId16" Type="http://schemas.openxmlformats.org/officeDocument/2006/relationships/hyperlink" Target="../prototypes/voucherlist/spec.md" TargetMode="External"/><Relationship Id="rId17" Type="http://schemas.openxmlformats.org/officeDocument/2006/relationships/hyperlink" Target="../prototypes/voucherlist/index.tsx" TargetMode="External"/><Relationship Id="rId18" Type="http://schemas.openxmlformats.org/officeDocument/2006/relationships/hyperlink" Target="../prototypes/tax-admin-login/spec.md" TargetMode="External"/><Relationship Id="rId19" Type="http://schemas.openxmlformats.org/officeDocument/2006/relationships/hyperlink" Target="../prototypes/tax-admin-login/index.tsx" TargetMode="External"/><Relationship Id="rId20" Type="http://schemas.openxmlformats.org/officeDocument/2006/relationships/hyperlink" Target="../components/side-menu/spec.md" TargetMode="External"/><Relationship Id="rId21" Type="http://schemas.openxmlformats.org/officeDocument/2006/relationships/hyperlink" Target="../components/ref-button/spec.md" TargetMode="External"/><Relationship Id="rId22" Type="http://schemas.openxmlformats.org/officeDocument/2006/relationships/hyperlink" Target="../components/ref-line-chart/spec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