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739977292"/>
        <w:docPartObj>
          <w:docPartGallery w:val="Cover Pages"/>
          <w:docPartUnique/>
        </w:docPartObj>
      </w:sdtPr>
      <w:sdtEndPr>
        <w:rPr>
          <w:rStyle w:val="Strong"/>
          <w:b/>
          <w:bCs/>
        </w:rPr>
      </w:sdtEndPr>
      <w:sdtContent>
        <w:p w14:paraId="03DDAB68" w14:textId="21AE721D" w:rsidR="00B93070" w:rsidRPr="0078325F" w:rsidRDefault="00B93070">
          <w:pPr>
            <w:rPr>
              <w:rFonts w:ascii="Times New Roman" w:hAnsi="Times New Roman" w:cs="Times New Roman"/>
            </w:rPr>
          </w:pPr>
          <w:r w:rsidRPr="0078325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056DCD" wp14:editId="6D5234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FC6AA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832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4BE9B" wp14:editId="1C310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EBEF60" w14:textId="0ED6865C" w:rsidR="00B93070" w:rsidRDefault="00B930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Yuchen</w:t>
                                    </w:r>
                                    <w:r w:rsidR="0062654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Cao</w:t>
                                    </w:r>
                                    <w:r w:rsidR="00A65BF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A65BF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Zitong</w:t>
                                    </w:r>
                                    <w:proofErr w:type="spellEnd"/>
                                    <w:r w:rsidR="00A65BF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Cheng, Aaron Li</w:t>
                                    </w:r>
                                  </w:p>
                                </w:sdtContent>
                              </w:sdt>
                              <w:p w14:paraId="5A4B05BF" w14:textId="56D7FFCA" w:rsidR="00B93070" w:rsidRDefault="005D29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76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Yc3580@columbia.edu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A4BE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EBEF60" w14:textId="0ED6865C" w:rsidR="00B93070" w:rsidRDefault="00B930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Yuchen</w:t>
                              </w:r>
                              <w:r w:rsidR="0062654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Cao</w:t>
                              </w:r>
                              <w:r w:rsidR="00A65BF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="00A65BF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Zitong</w:t>
                              </w:r>
                              <w:proofErr w:type="spellEnd"/>
                              <w:r w:rsidR="00A65BF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Cheng, Aaron Li</w:t>
                              </w:r>
                            </w:p>
                          </w:sdtContent>
                        </w:sdt>
                        <w:p w14:paraId="5A4B05BF" w14:textId="56D7FFCA" w:rsidR="00B93070" w:rsidRDefault="007E66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976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Yc3580@columbia.edu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8325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5B253" wp14:editId="3C5C7B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522DE" w14:textId="22312913" w:rsidR="00B93070" w:rsidRDefault="005D29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545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Model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76C94" w14:textId="5644E051" w:rsidR="00B93070" w:rsidRDefault="00F554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A5B25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CA522DE" w14:textId="22312913" w:rsidR="00B93070" w:rsidRDefault="007E66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545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Model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376C94" w14:textId="5644E051" w:rsidR="00B93070" w:rsidRDefault="00F554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368EBE" w14:textId="3B9BB5E1" w:rsidR="00B93070" w:rsidRPr="0078325F" w:rsidRDefault="00B93070">
          <w:pPr>
            <w:rPr>
              <w:rStyle w:val="Strong"/>
              <w:rFonts w:ascii="Times New Roman" w:hAnsi="Times New Roman" w:cs="Times New Roman"/>
            </w:rPr>
          </w:pPr>
          <w:r w:rsidRPr="0078325F">
            <w:rPr>
              <w:rStyle w:val="Strong"/>
              <w:rFonts w:ascii="Times New Roman" w:hAnsi="Times New Roman" w:cs="Times New Roman"/>
            </w:rPr>
            <w:br w:type="page"/>
          </w:r>
        </w:p>
      </w:sdtContent>
    </w:sdt>
    <w:p w14:paraId="071F2A5B" w14:textId="77777777" w:rsidR="002248A8" w:rsidRPr="0078325F" w:rsidRDefault="002248A8" w:rsidP="00BF4BD8">
      <w:pPr>
        <w:rPr>
          <w:rStyle w:val="Strong"/>
          <w:rFonts w:ascii="Times New Roman" w:hAnsi="Times New Roman" w:cs="Times New Roman"/>
        </w:rPr>
        <w:sectPr w:rsidR="002248A8" w:rsidRPr="0078325F" w:rsidSect="00B93070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eastAsia="zh-CN"/>
        </w:rPr>
        <w:id w:val="-20498253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9DFFE9" w14:textId="5AE5F4B4" w:rsidR="00012216" w:rsidRPr="0078325F" w:rsidRDefault="00012216" w:rsidP="0078325F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78325F">
            <w:rPr>
              <w:rFonts w:ascii="Times New Roman" w:hAnsi="Times New Roman" w:cs="Times New Roman"/>
            </w:rPr>
            <w:t>Contents</w:t>
          </w:r>
        </w:p>
        <w:p w14:paraId="5B678E4C" w14:textId="29D2D7A7" w:rsidR="00626548" w:rsidRPr="00626548" w:rsidRDefault="0001221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626548">
            <w:rPr>
              <w:rFonts w:ascii="Times New Roman" w:hAnsi="Times New Roman" w:cs="Times New Roman"/>
            </w:rPr>
            <w:fldChar w:fldCharType="begin"/>
          </w:r>
          <w:r w:rsidRPr="00626548">
            <w:rPr>
              <w:rFonts w:ascii="Times New Roman" w:hAnsi="Times New Roman" w:cs="Times New Roman"/>
            </w:rPr>
            <w:instrText xml:space="preserve"> TOC \o "1-3" \h \z \u </w:instrText>
          </w:r>
          <w:r w:rsidRPr="00626548">
            <w:rPr>
              <w:rFonts w:ascii="Times New Roman" w:hAnsi="Times New Roman" w:cs="Times New Roman"/>
            </w:rPr>
            <w:fldChar w:fldCharType="separate"/>
          </w:r>
          <w:hyperlink w:anchor="_Toc26955568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_Toc26955568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AE5F5" w14:textId="25728DEA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69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_Toc26955569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4B482" w14:textId="5904F9EE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0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Product Description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_Toc26955570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DA429" w14:textId="6BF5BBBA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1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Pricing Model Description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_Toc26955571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BF96EF" w14:textId="44E44119" w:rsidR="00626548" w:rsidRPr="00626548" w:rsidRDefault="005D290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2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Pricing Model Calibration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_Toc26955572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0E00BA" w14:textId="0046E2AC" w:rsidR="00626548" w:rsidRPr="00626548" w:rsidRDefault="005D290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3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Pricing Model Implementation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_Toc26955573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EB85C" w14:textId="6179FB83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4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Risk Measurement Model Description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_Toc26955574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384A0" w14:textId="1FE41904" w:rsidR="00626548" w:rsidRPr="00626548" w:rsidRDefault="005D290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5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Historical VaR and Historical ES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_Toc26955575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3DAD8" w14:textId="0196DE89" w:rsidR="00626548" w:rsidRPr="00626548" w:rsidRDefault="005D290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6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Parametric VaR and ES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_Toc26955576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9F7FCF" w14:textId="4E071303" w:rsidR="00626548" w:rsidRPr="00626548" w:rsidRDefault="005D290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7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Monte Carlo VaR and Monte Carlo ES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_Toc26955577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F72541" w14:textId="28E34421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8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Model Validation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_Toc26955578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5D0E99" w14:textId="49C4C06F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79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_Toc26955579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05D136" w14:textId="60683173" w:rsidR="00626548" w:rsidRPr="00626548" w:rsidRDefault="005D290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955580" w:history="1">
            <w:r w:rsidR="00626548" w:rsidRPr="00626548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instrText xml:space="preserve"> PAGEREF _Toc26955580 \h </w:instrTex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3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26548" w:rsidRPr="0062654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F82C3" w14:textId="1B37BEFD" w:rsidR="00012216" w:rsidRPr="0078325F" w:rsidRDefault="00012216">
          <w:pPr>
            <w:rPr>
              <w:rFonts w:ascii="Times New Roman" w:hAnsi="Times New Roman" w:cs="Times New Roman"/>
            </w:rPr>
          </w:pPr>
          <w:r w:rsidRPr="00626548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769E52B7" w14:textId="32D830FD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2ADC3327" w14:textId="5CA31F74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78FA9F7F" w14:textId="41C5BCBA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59E6137F" w14:textId="6A86C680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4F7A14C2" w14:textId="71F6D4F1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290A21CB" w14:textId="603FC8AA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3678FC8A" w14:textId="652441D8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08FE8574" w14:textId="3E873758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222B8B0F" w14:textId="7B85971D" w:rsidR="00BF4BD8" w:rsidRPr="0078325F" w:rsidRDefault="00BF4BD8" w:rsidP="00BF4BD8">
      <w:pPr>
        <w:rPr>
          <w:rStyle w:val="Strong"/>
          <w:rFonts w:ascii="Times New Roman" w:hAnsi="Times New Roman" w:cs="Times New Roman"/>
        </w:rPr>
      </w:pPr>
    </w:p>
    <w:p w14:paraId="2BC13A2C" w14:textId="578B5759" w:rsidR="00E83199" w:rsidRPr="0078325F" w:rsidRDefault="00E83199" w:rsidP="00BF4BD8">
      <w:pPr>
        <w:rPr>
          <w:rStyle w:val="Strong"/>
          <w:rFonts w:ascii="Times New Roman" w:hAnsi="Times New Roman" w:cs="Times New Roman"/>
        </w:rPr>
      </w:pPr>
    </w:p>
    <w:p w14:paraId="17A2E34D" w14:textId="5EF6BF03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3B0ABF37" w14:textId="20CE849D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2DC25147" w14:textId="6398DA3E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79F957DC" w14:textId="5027974A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19E3C2A8" w14:textId="5531D5AD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73DF4415" w14:textId="48981EC2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0EE0C821" w14:textId="77777777" w:rsidR="0078325F" w:rsidRPr="0078325F" w:rsidRDefault="0078325F" w:rsidP="00BF4BD8">
      <w:pPr>
        <w:rPr>
          <w:rStyle w:val="Strong"/>
          <w:rFonts w:ascii="Times New Roman" w:hAnsi="Times New Roman" w:cs="Times New Roman"/>
        </w:rPr>
      </w:pPr>
    </w:p>
    <w:p w14:paraId="458D0EC0" w14:textId="29336179" w:rsidR="00EC5049" w:rsidRPr="0078325F" w:rsidRDefault="00C5521C" w:rsidP="00D15565">
      <w:pPr>
        <w:pStyle w:val="Heading1"/>
        <w:spacing w:line="276" w:lineRule="auto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  <w:bookmarkStart w:id="0" w:name="_Toc26955568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lastRenderedPageBreak/>
        <w:t>Executive Summary</w:t>
      </w:r>
      <w:bookmarkEnd w:id="0"/>
    </w:p>
    <w:p w14:paraId="0C3032ED" w14:textId="6870855F" w:rsidR="00C5521C" w:rsidRPr="0078325F" w:rsidRDefault="00C5521C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This is a review of </w:t>
      </w:r>
      <w:r w:rsidR="003B7615" w:rsidRPr="0078325F">
        <w:rPr>
          <w:rFonts w:ascii="Times New Roman" w:hAnsi="Times New Roman" w:cs="Times New Roman"/>
        </w:rPr>
        <w:t>Group 2</w:t>
      </w:r>
      <w:r w:rsidRPr="0078325F">
        <w:rPr>
          <w:rFonts w:ascii="Times New Roman" w:hAnsi="Times New Roman" w:cs="Times New Roman"/>
        </w:rPr>
        <w:t xml:space="preserve"> risk model for a portfolio of a long and short position of </w:t>
      </w:r>
      <w:r w:rsidR="00CA5685">
        <w:rPr>
          <w:rFonts w:ascii="Times New Roman" w:hAnsi="Times New Roman" w:cs="Times New Roman"/>
        </w:rPr>
        <w:t xml:space="preserve">Ford </w:t>
      </w:r>
      <w:r w:rsidRPr="0078325F">
        <w:rPr>
          <w:rFonts w:ascii="Times New Roman" w:hAnsi="Times New Roman" w:cs="Times New Roman"/>
        </w:rPr>
        <w:t>stock</w:t>
      </w:r>
      <w:r w:rsidR="003503F1" w:rsidRPr="0078325F">
        <w:rPr>
          <w:rFonts w:ascii="Times New Roman" w:hAnsi="Times New Roman" w:cs="Times New Roman"/>
        </w:rPr>
        <w:t>s</w:t>
      </w:r>
      <w:r w:rsidR="00CA5685">
        <w:rPr>
          <w:rFonts w:ascii="Times New Roman" w:hAnsi="Times New Roman" w:cs="Times New Roman"/>
        </w:rPr>
        <w:t xml:space="preserve">, Xerox Stocks </w:t>
      </w:r>
      <w:r w:rsidR="00AF2C73" w:rsidRPr="0078325F">
        <w:rPr>
          <w:rFonts w:ascii="Times New Roman" w:hAnsi="Times New Roman" w:cs="Times New Roman"/>
        </w:rPr>
        <w:t xml:space="preserve">and </w:t>
      </w:r>
      <w:r w:rsidR="000F16E5" w:rsidRPr="0078325F">
        <w:rPr>
          <w:rFonts w:ascii="Times New Roman" w:hAnsi="Times New Roman" w:cs="Times New Roman"/>
        </w:rPr>
        <w:t>S&amp;P 500</w:t>
      </w:r>
      <w:r w:rsidR="00CA5685">
        <w:rPr>
          <w:rFonts w:ascii="Times New Roman" w:hAnsi="Times New Roman" w:cs="Times New Roman"/>
        </w:rPr>
        <w:t xml:space="preserve"> </w:t>
      </w:r>
      <w:r w:rsidR="00CB479B">
        <w:rPr>
          <w:rFonts w:ascii="Times New Roman" w:hAnsi="Times New Roman" w:cs="Times New Roman"/>
        </w:rPr>
        <w:t xml:space="preserve">At-The-Money </w:t>
      </w:r>
      <w:r w:rsidR="00A3781E">
        <w:rPr>
          <w:rFonts w:ascii="Times New Roman" w:hAnsi="Times New Roman" w:cs="Times New Roman"/>
        </w:rPr>
        <w:t>Option Contract</w:t>
      </w:r>
      <w:r w:rsidR="003503F1" w:rsidRPr="0078325F">
        <w:rPr>
          <w:rFonts w:ascii="Times New Roman" w:hAnsi="Times New Roman" w:cs="Times New Roman"/>
        </w:rPr>
        <w:t>. The risk model is used to calculate Value-at-Risk</w:t>
      </w:r>
      <w:r w:rsidR="009A21A1" w:rsidRPr="0078325F">
        <w:rPr>
          <w:rFonts w:ascii="Times New Roman" w:hAnsi="Times New Roman" w:cs="Times New Roman"/>
        </w:rPr>
        <w:t xml:space="preserve"> (</w:t>
      </w:r>
      <w:proofErr w:type="spellStart"/>
      <w:r w:rsidR="009A21A1" w:rsidRPr="0078325F">
        <w:rPr>
          <w:rFonts w:ascii="Times New Roman" w:hAnsi="Times New Roman" w:cs="Times New Roman"/>
        </w:rPr>
        <w:t>VaR</w:t>
      </w:r>
      <w:proofErr w:type="spellEnd"/>
      <w:proofErr w:type="gramStart"/>
      <w:r w:rsidR="009A21A1" w:rsidRPr="0078325F">
        <w:rPr>
          <w:rFonts w:ascii="Times New Roman" w:hAnsi="Times New Roman" w:cs="Times New Roman"/>
        </w:rPr>
        <w:t>)</w:t>
      </w:r>
      <w:r w:rsidR="003503F1" w:rsidRPr="0078325F">
        <w:rPr>
          <w:rFonts w:ascii="Times New Roman" w:hAnsi="Times New Roman" w:cs="Times New Roman"/>
        </w:rPr>
        <w:t>, and</w:t>
      </w:r>
      <w:proofErr w:type="gramEnd"/>
      <w:r w:rsidR="003503F1" w:rsidRPr="0078325F">
        <w:rPr>
          <w:rFonts w:ascii="Times New Roman" w:hAnsi="Times New Roman" w:cs="Times New Roman"/>
        </w:rPr>
        <w:t xml:space="preserve"> Expected Shortfall </w:t>
      </w:r>
      <w:r w:rsidR="009A21A1" w:rsidRPr="0078325F">
        <w:rPr>
          <w:rFonts w:ascii="Times New Roman" w:hAnsi="Times New Roman" w:cs="Times New Roman"/>
        </w:rPr>
        <w:t>(ES)</w:t>
      </w:r>
      <w:r w:rsidR="003503F1" w:rsidRPr="0078325F">
        <w:rPr>
          <w:rFonts w:ascii="Times New Roman" w:hAnsi="Times New Roman" w:cs="Times New Roman"/>
        </w:rPr>
        <w:t xml:space="preserve">. </w:t>
      </w:r>
      <w:r w:rsidR="009815A5" w:rsidRPr="0078325F">
        <w:rPr>
          <w:rFonts w:ascii="Times New Roman" w:hAnsi="Times New Roman" w:cs="Times New Roman"/>
        </w:rPr>
        <w:t>Value-at-Risk (</w:t>
      </w:r>
      <w:proofErr w:type="spellStart"/>
      <w:r w:rsidR="009815A5" w:rsidRPr="0078325F">
        <w:rPr>
          <w:rFonts w:ascii="Times New Roman" w:hAnsi="Times New Roman" w:cs="Times New Roman"/>
        </w:rPr>
        <w:t>VaR</w:t>
      </w:r>
      <w:proofErr w:type="spellEnd"/>
      <w:r w:rsidR="009815A5" w:rsidRPr="0078325F">
        <w:rPr>
          <w:rFonts w:ascii="Times New Roman" w:hAnsi="Times New Roman" w:cs="Times New Roman"/>
        </w:rPr>
        <w:t xml:space="preserve">) is a numerical result—over which there is a certain percentage of probability that the losses could exceed. Expected Shortfall (ES), on the other hand, defines the average of the losses conditional on losses that are greater than </w:t>
      </w:r>
      <w:proofErr w:type="spellStart"/>
      <w:r w:rsidR="009815A5" w:rsidRPr="0078325F">
        <w:rPr>
          <w:rFonts w:ascii="Times New Roman" w:hAnsi="Times New Roman" w:cs="Times New Roman"/>
        </w:rPr>
        <w:t>VaR.</w:t>
      </w:r>
      <w:proofErr w:type="spellEnd"/>
    </w:p>
    <w:p w14:paraId="01659FFC" w14:textId="069F31E7" w:rsidR="003503F1" w:rsidRDefault="003503F1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Pricing model has two components. The first one is used to calculate its price, and the second one is used to measure risks. </w:t>
      </w:r>
      <w:r w:rsidR="0010050E">
        <w:rPr>
          <w:rFonts w:ascii="Times New Roman" w:hAnsi="Times New Roman" w:cs="Times New Roman"/>
        </w:rPr>
        <w:t xml:space="preserve">In the end, </w:t>
      </w:r>
      <w:proofErr w:type="spellStart"/>
      <w:r w:rsidR="0010050E">
        <w:rPr>
          <w:rFonts w:ascii="Times New Roman" w:hAnsi="Times New Roman" w:cs="Times New Roman"/>
        </w:rPr>
        <w:t>backtesting</w:t>
      </w:r>
      <w:proofErr w:type="spellEnd"/>
      <w:r w:rsidR="0010050E">
        <w:rPr>
          <w:rFonts w:ascii="Times New Roman" w:hAnsi="Times New Roman" w:cs="Times New Roman"/>
        </w:rPr>
        <w:t xml:space="preserve"> will be applied to justify model validation.</w:t>
      </w:r>
    </w:p>
    <w:p w14:paraId="04CF5743" w14:textId="09393341" w:rsidR="00EB3564" w:rsidRPr="0078325F" w:rsidRDefault="00EB3564" w:rsidP="00D155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option has a nonlinear payoff, it is impossible to calculate the parametric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using the </w:t>
      </w:r>
      <w:r w:rsidR="00115E0F">
        <w:rPr>
          <w:rFonts w:ascii="Times New Roman" w:hAnsi="Times New Roman" w:cs="Times New Roman"/>
        </w:rPr>
        <w:t xml:space="preserve">variance-covariance matrix </w:t>
      </w:r>
      <w:r w:rsidR="00F12CDC">
        <w:rPr>
          <w:rFonts w:ascii="Times New Roman" w:hAnsi="Times New Roman" w:cs="Times New Roman"/>
        </w:rPr>
        <w:t xml:space="preserve">under the normal distribution. For </w:t>
      </w:r>
      <w:r w:rsidR="007F58E7">
        <w:rPr>
          <w:rFonts w:ascii="Times New Roman" w:hAnsi="Times New Roman" w:cs="Times New Roman"/>
        </w:rPr>
        <w:t xml:space="preserve">the convenience of calculation, </w:t>
      </w:r>
      <w:r w:rsidR="00D8384F">
        <w:rPr>
          <w:rFonts w:ascii="Times New Roman" w:hAnsi="Times New Roman" w:cs="Times New Roman"/>
        </w:rPr>
        <w:t>P</w:t>
      </w:r>
      <w:r w:rsidR="00E33D2D">
        <w:rPr>
          <w:rFonts w:ascii="Times New Roman" w:hAnsi="Times New Roman" w:cs="Times New Roman"/>
        </w:rPr>
        <w:t xml:space="preserve">arametric </w:t>
      </w:r>
      <w:proofErr w:type="spellStart"/>
      <w:r w:rsidR="00E33D2D">
        <w:rPr>
          <w:rFonts w:ascii="Times New Roman" w:hAnsi="Times New Roman" w:cs="Times New Roman"/>
        </w:rPr>
        <w:t>VaR</w:t>
      </w:r>
      <w:proofErr w:type="spellEnd"/>
      <w:r w:rsidR="00E33D2D">
        <w:rPr>
          <w:rFonts w:ascii="Times New Roman" w:hAnsi="Times New Roman" w:cs="Times New Roman"/>
        </w:rPr>
        <w:t xml:space="preserve"> in this model will </w:t>
      </w:r>
      <w:r w:rsidR="009A1B0B">
        <w:rPr>
          <w:rFonts w:ascii="Times New Roman" w:hAnsi="Times New Roman" w:cs="Times New Roman"/>
        </w:rPr>
        <w:t>take into consideration the portfolio under the</w:t>
      </w:r>
      <w:r w:rsidR="0092203A">
        <w:rPr>
          <w:rFonts w:ascii="Times New Roman" w:hAnsi="Times New Roman" w:cs="Times New Roman"/>
        </w:rPr>
        <w:t xml:space="preserve"> </w:t>
      </w:r>
      <w:r w:rsidR="007747C5">
        <w:rPr>
          <w:rFonts w:ascii="Times New Roman" w:hAnsi="Times New Roman" w:cs="Times New Roman"/>
        </w:rPr>
        <w:t>Geometric Brownian Motion (GBM) process</w:t>
      </w:r>
      <w:r w:rsidR="002106FA">
        <w:rPr>
          <w:rFonts w:ascii="Times New Roman" w:hAnsi="Times New Roman" w:cs="Times New Roman"/>
        </w:rPr>
        <w:t xml:space="preserve"> to make the calculation. </w:t>
      </w:r>
    </w:p>
    <w:p w14:paraId="516312C8" w14:textId="34C3B12F" w:rsidR="00C564D7" w:rsidRPr="0078325F" w:rsidRDefault="00FD15A7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This model will also calculate Monte Carlo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Pr="0078325F">
        <w:rPr>
          <w:rFonts w:ascii="Times New Roman" w:hAnsi="Times New Roman" w:cs="Times New Roman"/>
        </w:rPr>
        <w:t xml:space="preserve"> and ES, Historical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Pr="0078325F">
        <w:rPr>
          <w:rFonts w:ascii="Times New Roman" w:hAnsi="Times New Roman" w:cs="Times New Roman"/>
        </w:rPr>
        <w:t xml:space="preserve"> and ES</w:t>
      </w:r>
      <w:r w:rsidR="003503F1" w:rsidRPr="0078325F">
        <w:rPr>
          <w:rFonts w:ascii="Times New Roman" w:hAnsi="Times New Roman" w:cs="Times New Roman"/>
        </w:rPr>
        <w:t xml:space="preserve">, </w:t>
      </w:r>
      <w:r w:rsidRPr="0078325F">
        <w:rPr>
          <w:rFonts w:ascii="Times New Roman" w:hAnsi="Times New Roman" w:cs="Times New Roman"/>
        </w:rPr>
        <w:t xml:space="preserve">and Parametric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="00FE3AF0">
        <w:rPr>
          <w:rFonts w:ascii="Times New Roman" w:hAnsi="Times New Roman" w:cs="Times New Roman"/>
        </w:rPr>
        <w:t xml:space="preserve"> and ES</w:t>
      </w:r>
      <w:r w:rsidRPr="0078325F">
        <w:rPr>
          <w:rFonts w:ascii="Times New Roman" w:hAnsi="Times New Roman" w:cs="Times New Roman"/>
        </w:rPr>
        <w:t xml:space="preserve">. </w:t>
      </w:r>
      <w:r w:rsidR="009826B4" w:rsidRPr="0078325F">
        <w:rPr>
          <w:rFonts w:ascii="Times New Roman" w:hAnsi="Times New Roman" w:cs="Times New Roman"/>
        </w:rPr>
        <w:t>It</w:t>
      </w:r>
      <w:r w:rsidR="003503F1" w:rsidRPr="0078325F">
        <w:rPr>
          <w:rFonts w:ascii="Times New Roman" w:hAnsi="Times New Roman" w:cs="Times New Roman"/>
        </w:rPr>
        <w:t xml:space="preserve"> use</w:t>
      </w:r>
      <w:r w:rsidR="009826B4" w:rsidRPr="0078325F">
        <w:rPr>
          <w:rFonts w:ascii="Times New Roman" w:hAnsi="Times New Roman" w:cs="Times New Roman"/>
        </w:rPr>
        <w:t>s</w:t>
      </w:r>
      <w:r w:rsidR="003503F1" w:rsidRPr="0078325F">
        <w:rPr>
          <w:rFonts w:ascii="Times New Roman" w:hAnsi="Times New Roman" w:cs="Times New Roman"/>
        </w:rPr>
        <w:t xml:space="preserve"> </w:t>
      </w:r>
      <w:r w:rsidR="009826B4" w:rsidRPr="0078325F">
        <w:rPr>
          <w:rFonts w:ascii="Times New Roman" w:hAnsi="Times New Roman" w:cs="Times New Roman"/>
        </w:rPr>
        <w:t xml:space="preserve">a </w:t>
      </w:r>
      <w:r w:rsidR="003503F1" w:rsidRPr="0078325F">
        <w:rPr>
          <w:rFonts w:ascii="Times New Roman" w:hAnsi="Times New Roman" w:cs="Times New Roman"/>
        </w:rPr>
        <w:t xml:space="preserve">historical time period to apply to the current market positions and repricing. </w:t>
      </w:r>
      <w:r w:rsidR="00B36B6D" w:rsidRPr="0078325F">
        <w:rPr>
          <w:rFonts w:ascii="Times New Roman" w:hAnsi="Times New Roman" w:cs="Times New Roman"/>
        </w:rPr>
        <w:t>ES has a more coherent</w:t>
      </w:r>
      <w:r w:rsidR="00C564D7" w:rsidRPr="0078325F">
        <w:rPr>
          <w:rFonts w:ascii="Times New Roman" w:hAnsi="Times New Roman" w:cs="Times New Roman"/>
        </w:rPr>
        <w:t xml:space="preserve"> result than </w:t>
      </w:r>
      <w:proofErr w:type="spellStart"/>
      <w:r w:rsidR="00C564D7" w:rsidRPr="0078325F">
        <w:rPr>
          <w:rFonts w:ascii="Times New Roman" w:hAnsi="Times New Roman" w:cs="Times New Roman"/>
        </w:rPr>
        <w:t>VaR</w:t>
      </w:r>
      <w:proofErr w:type="spellEnd"/>
      <w:r w:rsidR="00C564D7" w:rsidRPr="0078325F">
        <w:rPr>
          <w:rFonts w:ascii="Times New Roman" w:hAnsi="Times New Roman" w:cs="Times New Roman"/>
        </w:rPr>
        <w:t xml:space="preserve"> since it meets four of the following requirements: </w:t>
      </w:r>
    </w:p>
    <w:p w14:paraId="1910DF3B" w14:textId="77777777" w:rsidR="00C564D7" w:rsidRPr="00192C7C" w:rsidRDefault="00C564D7" w:rsidP="003909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1" w:name="_Toc25684901"/>
      <w:bookmarkStart w:id="2" w:name="_Toc25685145"/>
      <w:r w:rsidRPr="00192C7C">
        <w:rPr>
          <w:rFonts w:ascii="Times New Roman" w:hAnsi="Times New Roman" w:cs="Times New Roman"/>
        </w:rPr>
        <w:t>Monotonicity</w:t>
      </w:r>
      <w:bookmarkEnd w:id="1"/>
      <w:bookmarkEnd w:id="2"/>
      <w:r w:rsidRPr="00192C7C">
        <w:rPr>
          <w:rFonts w:ascii="Times New Roman" w:hAnsi="Times New Roman" w:cs="Times New Roman"/>
        </w:rPr>
        <w:t>: if a portfolio produces a worse result than another portfolio for every state of the world, its risk measure should be greater.</w:t>
      </w:r>
    </w:p>
    <w:p w14:paraId="3750A669" w14:textId="1C780E29" w:rsidR="00C564D7" w:rsidRPr="00192C7C" w:rsidRDefault="00C564D7" w:rsidP="003909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3" w:name="_Toc25684902"/>
      <w:bookmarkStart w:id="4" w:name="_Toc25685146"/>
      <w:r w:rsidRPr="00192C7C">
        <w:rPr>
          <w:rFonts w:ascii="Times New Roman" w:hAnsi="Times New Roman" w:cs="Times New Roman"/>
        </w:rPr>
        <w:t>Translation Invariance</w:t>
      </w:r>
      <w:bookmarkEnd w:id="3"/>
      <w:bookmarkEnd w:id="4"/>
      <w:r w:rsidRPr="00192C7C">
        <w:rPr>
          <w:rFonts w:ascii="Times New Roman" w:hAnsi="Times New Roman" w:cs="Times New Roman"/>
        </w:rPr>
        <w:t>: if an amount of cash K is added to a portfolio, its risk measure should go down by K.</w:t>
      </w:r>
    </w:p>
    <w:p w14:paraId="2C0CEB07" w14:textId="0F49EEA2" w:rsidR="00C564D7" w:rsidRPr="00192C7C" w:rsidRDefault="00C564D7" w:rsidP="003909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5" w:name="_Toc25684903"/>
      <w:bookmarkStart w:id="6" w:name="_Toc25685147"/>
      <w:r w:rsidRPr="00192C7C">
        <w:rPr>
          <w:rFonts w:ascii="Times New Roman" w:hAnsi="Times New Roman" w:cs="Times New Roman"/>
        </w:rPr>
        <w:t>Homogeneity</w:t>
      </w:r>
      <w:bookmarkEnd w:id="5"/>
      <w:bookmarkEnd w:id="6"/>
      <w:r w:rsidRPr="00192C7C">
        <w:rPr>
          <w:rFonts w:ascii="Times New Roman" w:hAnsi="Times New Roman" w:cs="Times New Roman"/>
        </w:rPr>
        <w:t xml:space="preserve">: changing the size of a portfolio by a factor lambda, while keeping the relative amounts of different items in the portfolio items in the portfolio the same, should result in the risk measure being multiplied by lambda. </w:t>
      </w:r>
    </w:p>
    <w:p w14:paraId="0D14915B" w14:textId="6E193782" w:rsidR="00C564D7" w:rsidRPr="00192C7C" w:rsidRDefault="00C564D7" w:rsidP="0039092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7" w:name="_Toc25684904"/>
      <w:bookmarkStart w:id="8" w:name="_Toc25685148"/>
      <w:r w:rsidRPr="00192C7C">
        <w:rPr>
          <w:rFonts w:ascii="Times New Roman" w:hAnsi="Times New Roman" w:cs="Times New Roman"/>
        </w:rPr>
        <w:t>Subadditivity</w:t>
      </w:r>
      <w:bookmarkEnd w:id="7"/>
      <w:bookmarkEnd w:id="8"/>
      <w:r w:rsidRPr="00192C7C">
        <w:rPr>
          <w:rFonts w:ascii="Times New Roman" w:hAnsi="Times New Roman" w:cs="Times New Roman"/>
        </w:rPr>
        <w:t xml:space="preserve">: The risk measure for two portfolios after they have been merged should be no greater than the sum of their risk measures before they were merged. </w:t>
      </w:r>
    </w:p>
    <w:p w14:paraId="20B67085" w14:textId="1BE4A649" w:rsidR="00C564D7" w:rsidRPr="0078325F" w:rsidRDefault="00C564D7" w:rsidP="00C564D7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However, ES calculation is not elicitable and thus increases some difficulties in </w:t>
      </w:r>
      <w:proofErr w:type="spellStart"/>
      <w:r w:rsidRPr="0078325F">
        <w:rPr>
          <w:rFonts w:ascii="Times New Roman" w:hAnsi="Times New Roman" w:cs="Times New Roman"/>
        </w:rPr>
        <w:t>backtesting</w:t>
      </w:r>
      <w:proofErr w:type="spellEnd"/>
      <w:r w:rsidRPr="0078325F">
        <w:rPr>
          <w:rFonts w:ascii="Times New Roman" w:hAnsi="Times New Roman" w:cs="Times New Roman"/>
        </w:rPr>
        <w:t xml:space="preserve">. </w:t>
      </w:r>
    </w:p>
    <w:p w14:paraId="711AE566" w14:textId="4D212EFD" w:rsidR="003503F1" w:rsidRPr="0078325F" w:rsidRDefault="003503F1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The strengths of our model are, that our model applies industry standards model to </w:t>
      </w:r>
      <w:r w:rsidR="00A105FB" w:rsidRPr="0078325F">
        <w:rPr>
          <w:rFonts w:ascii="Times New Roman" w:hAnsi="Times New Roman" w:cs="Times New Roman"/>
        </w:rPr>
        <w:t xml:space="preserve">better calculate risks, </w:t>
      </w:r>
      <w:r w:rsidR="004F3DED" w:rsidRPr="0078325F">
        <w:rPr>
          <w:rFonts w:ascii="Times New Roman" w:hAnsi="Times New Roman" w:cs="Times New Roman"/>
        </w:rPr>
        <w:t xml:space="preserve">and </w:t>
      </w:r>
      <w:r w:rsidR="00A105FB" w:rsidRPr="0078325F">
        <w:rPr>
          <w:rFonts w:ascii="Times New Roman" w:hAnsi="Times New Roman" w:cs="Times New Roman"/>
        </w:rPr>
        <w:t xml:space="preserve">that we successfully </w:t>
      </w:r>
      <w:r w:rsidR="008B4321" w:rsidRPr="0078325F">
        <w:rPr>
          <w:rFonts w:ascii="Times New Roman" w:hAnsi="Times New Roman" w:cs="Times New Roman"/>
        </w:rPr>
        <w:t xml:space="preserve">validate </w:t>
      </w:r>
      <w:r w:rsidR="00A105FB" w:rsidRPr="0078325F">
        <w:rPr>
          <w:rFonts w:ascii="Times New Roman" w:hAnsi="Times New Roman" w:cs="Times New Roman"/>
        </w:rPr>
        <w:t xml:space="preserve">the model by </w:t>
      </w:r>
      <w:r w:rsidR="008B4321" w:rsidRPr="0078325F">
        <w:rPr>
          <w:rFonts w:ascii="Times New Roman" w:hAnsi="Times New Roman" w:cs="Times New Roman"/>
        </w:rPr>
        <w:t xml:space="preserve">a robust </w:t>
      </w:r>
      <w:r w:rsidR="00A105FB" w:rsidRPr="0078325F">
        <w:rPr>
          <w:rFonts w:ascii="Times New Roman" w:hAnsi="Times New Roman" w:cs="Times New Roman"/>
        </w:rPr>
        <w:t>back-testing</w:t>
      </w:r>
      <w:r w:rsidR="008B4321" w:rsidRPr="0078325F">
        <w:rPr>
          <w:rFonts w:ascii="Times New Roman" w:hAnsi="Times New Roman" w:cs="Times New Roman"/>
        </w:rPr>
        <w:t xml:space="preserve"> plan</w:t>
      </w:r>
      <w:r w:rsidR="004F3DED" w:rsidRPr="0078325F">
        <w:rPr>
          <w:rFonts w:ascii="Times New Roman" w:hAnsi="Times New Roman" w:cs="Times New Roman"/>
        </w:rPr>
        <w:t xml:space="preserve">. </w:t>
      </w:r>
    </w:p>
    <w:p w14:paraId="195FEE6F" w14:textId="3B183F32" w:rsidR="009D7774" w:rsidRPr="0078325F" w:rsidRDefault="00E02F52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The risk of this model is the uncertainty in </w:t>
      </w:r>
      <w:r w:rsidR="00186749" w:rsidRPr="0078325F">
        <w:rPr>
          <w:rFonts w:ascii="Times New Roman" w:hAnsi="Times New Roman" w:cs="Times New Roman"/>
        </w:rPr>
        <w:t xml:space="preserve">change of </w:t>
      </w:r>
      <w:r w:rsidRPr="0078325F">
        <w:rPr>
          <w:rFonts w:ascii="Times New Roman" w:hAnsi="Times New Roman" w:cs="Times New Roman"/>
        </w:rPr>
        <w:t xml:space="preserve">the correlation </w:t>
      </w:r>
      <w:r w:rsidR="00186749" w:rsidRPr="0078325F">
        <w:rPr>
          <w:rFonts w:ascii="Times New Roman" w:hAnsi="Times New Roman" w:cs="Times New Roman"/>
        </w:rPr>
        <w:t>between each stock</w:t>
      </w:r>
      <w:r w:rsidR="00501251" w:rsidRPr="0078325F">
        <w:rPr>
          <w:rFonts w:ascii="Times New Roman" w:hAnsi="Times New Roman" w:cs="Times New Roman"/>
        </w:rPr>
        <w:t xml:space="preserve"> and each risk factors</w:t>
      </w:r>
      <w:r w:rsidR="006F2013" w:rsidRPr="0078325F">
        <w:rPr>
          <w:rFonts w:ascii="Times New Roman" w:hAnsi="Times New Roman" w:cs="Times New Roman"/>
        </w:rPr>
        <w:t>. If we underestimated the correlation, the</w:t>
      </w:r>
      <w:r w:rsidR="00501251" w:rsidRPr="0078325F">
        <w:rPr>
          <w:rFonts w:ascii="Times New Roman" w:hAnsi="Times New Roman" w:cs="Times New Roman"/>
        </w:rPr>
        <w:t xml:space="preserve"> total</w:t>
      </w:r>
      <w:r w:rsidR="006F2013" w:rsidRPr="0078325F">
        <w:rPr>
          <w:rFonts w:ascii="Times New Roman" w:hAnsi="Times New Roman" w:cs="Times New Roman"/>
        </w:rPr>
        <w:t xml:space="preserve"> risk could be undermeasured and thus underhedged as well. </w:t>
      </w:r>
    </w:p>
    <w:p w14:paraId="0AD92C6C" w14:textId="1616D00C" w:rsidR="00B87E23" w:rsidRPr="0078325F" w:rsidRDefault="00F91F53" w:rsidP="00D15565">
      <w:pPr>
        <w:pStyle w:val="Heading1"/>
        <w:spacing w:line="276" w:lineRule="auto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  <w:bookmarkStart w:id="9" w:name="_Toc26955569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t>Introduction</w:t>
      </w:r>
      <w:bookmarkEnd w:id="9"/>
    </w:p>
    <w:p w14:paraId="0438239F" w14:textId="7150DE41" w:rsidR="00F91F53" w:rsidRPr="0078325F" w:rsidRDefault="00F91F53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This is </w:t>
      </w:r>
      <w:r w:rsidR="003B7615" w:rsidRPr="0078325F">
        <w:rPr>
          <w:rFonts w:ascii="Times New Roman" w:hAnsi="Times New Roman" w:cs="Times New Roman"/>
        </w:rPr>
        <w:t xml:space="preserve">a review of Group 2 risk model for a portfolio </w:t>
      </w:r>
      <w:r w:rsidR="00C53193" w:rsidRPr="0078325F">
        <w:rPr>
          <w:rFonts w:ascii="Times New Roman" w:hAnsi="Times New Roman" w:cs="Times New Roman"/>
        </w:rPr>
        <w:t xml:space="preserve">of </w:t>
      </w:r>
      <w:r w:rsidR="001254A0" w:rsidRPr="0078325F">
        <w:rPr>
          <w:rFonts w:ascii="Times New Roman" w:hAnsi="Times New Roman" w:cs="Times New Roman"/>
        </w:rPr>
        <w:t>stocks</w:t>
      </w:r>
      <w:r w:rsidR="00C53193" w:rsidRPr="0078325F">
        <w:rPr>
          <w:rFonts w:ascii="Times New Roman" w:hAnsi="Times New Roman" w:cs="Times New Roman"/>
        </w:rPr>
        <w:t xml:space="preserve"> </w:t>
      </w:r>
      <w:r w:rsidR="0022298C">
        <w:rPr>
          <w:rFonts w:ascii="Times New Roman" w:hAnsi="Times New Roman" w:cs="Times New Roman"/>
        </w:rPr>
        <w:t xml:space="preserve">including Ford and Xerox </w:t>
      </w:r>
      <w:r w:rsidR="00C53193" w:rsidRPr="0078325F">
        <w:rPr>
          <w:rFonts w:ascii="Times New Roman" w:hAnsi="Times New Roman" w:cs="Times New Roman"/>
        </w:rPr>
        <w:t>and S&amp;P 500</w:t>
      </w:r>
      <w:r w:rsidR="0049144B">
        <w:rPr>
          <w:rFonts w:ascii="Times New Roman" w:hAnsi="Times New Roman" w:cs="Times New Roman"/>
        </w:rPr>
        <w:t xml:space="preserve"> Index Option</w:t>
      </w:r>
      <w:r w:rsidR="001254A0" w:rsidRPr="0078325F">
        <w:rPr>
          <w:rFonts w:ascii="Times New Roman" w:hAnsi="Times New Roman" w:cs="Times New Roman"/>
        </w:rPr>
        <w:t>.</w:t>
      </w:r>
      <w:r w:rsidR="00B41C92" w:rsidRPr="0078325F">
        <w:rPr>
          <w:rFonts w:ascii="Times New Roman" w:hAnsi="Times New Roman" w:cs="Times New Roman"/>
        </w:rPr>
        <w:t xml:space="preserve"> The main purpose of this model is to calculate the price of the portfolio and measure market risk.</w:t>
      </w:r>
      <w:r w:rsidR="001254A0" w:rsidRPr="0078325F">
        <w:rPr>
          <w:rFonts w:ascii="Times New Roman" w:hAnsi="Times New Roman" w:cs="Times New Roman"/>
        </w:rPr>
        <w:t xml:space="preserve"> </w:t>
      </w:r>
    </w:p>
    <w:p w14:paraId="1E98B5EB" w14:textId="69691B42" w:rsidR="00C85D56" w:rsidRPr="0078325F" w:rsidRDefault="00C85D56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Risk calculations include two major components. The first major part </w:t>
      </w:r>
      <w:r w:rsidR="00386079" w:rsidRPr="0078325F">
        <w:rPr>
          <w:rFonts w:ascii="Times New Roman" w:hAnsi="Times New Roman" w:cs="Times New Roman"/>
        </w:rPr>
        <w:t xml:space="preserve">is pricing model for </w:t>
      </w:r>
      <w:r w:rsidRPr="0078325F">
        <w:rPr>
          <w:rFonts w:ascii="Times New Roman" w:hAnsi="Times New Roman" w:cs="Times New Roman"/>
        </w:rPr>
        <w:t>calculation</w:t>
      </w:r>
      <w:r w:rsidR="003D4946" w:rsidRPr="0078325F">
        <w:rPr>
          <w:rFonts w:ascii="Times New Roman" w:hAnsi="Times New Roman" w:cs="Times New Roman"/>
        </w:rPr>
        <w:t xml:space="preserve"> which involves Black-Scholes Merton model for the option pricing</w:t>
      </w:r>
      <w:r w:rsidRPr="0078325F">
        <w:rPr>
          <w:rFonts w:ascii="Times New Roman" w:hAnsi="Times New Roman" w:cs="Times New Roman"/>
        </w:rPr>
        <w:t xml:space="preserve">, and the second part is </w:t>
      </w:r>
      <w:r w:rsidR="00DA68A3" w:rsidRPr="0078325F">
        <w:rPr>
          <w:rFonts w:ascii="Times New Roman" w:hAnsi="Times New Roman" w:cs="Times New Roman"/>
        </w:rPr>
        <w:t xml:space="preserve">the model for </w:t>
      </w:r>
      <w:r w:rsidRPr="0078325F">
        <w:rPr>
          <w:rFonts w:ascii="Times New Roman" w:hAnsi="Times New Roman" w:cs="Times New Roman"/>
        </w:rPr>
        <w:t>risk</w:t>
      </w:r>
      <w:r w:rsidR="00386079" w:rsidRPr="0078325F">
        <w:rPr>
          <w:rFonts w:ascii="Times New Roman" w:hAnsi="Times New Roman" w:cs="Times New Roman"/>
        </w:rPr>
        <w:t xml:space="preserve"> measurement</w:t>
      </w:r>
      <w:r w:rsidR="008F67EB" w:rsidRPr="0078325F">
        <w:rPr>
          <w:rFonts w:ascii="Times New Roman" w:hAnsi="Times New Roman" w:cs="Times New Roman"/>
        </w:rPr>
        <w:t xml:space="preserve"> to Value-at-Risk (</w:t>
      </w:r>
      <w:proofErr w:type="spellStart"/>
      <w:r w:rsidR="008F67EB" w:rsidRPr="0078325F">
        <w:rPr>
          <w:rFonts w:ascii="Times New Roman" w:hAnsi="Times New Roman" w:cs="Times New Roman"/>
        </w:rPr>
        <w:t>VaR</w:t>
      </w:r>
      <w:proofErr w:type="spellEnd"/>
      <w:r w:rsidR="008F67EB" w:rsidRPr="0078325F">
        <w:rPr>
          <w:rFonts w:ascii="Times New Roman" w:hAnsi="Times New Roman" w:cs="Times New Roman"/>
        </w:rPr>
        <w:t>) and Expected Shortfall (ES)</w:t>
      </w:r>
      <w:r w:rsidR="00386079" w:rsidRPr="0078325F">
        <w:rPr>
          <w:rFonts w:ascii="Times New Roman" w:hAnsi="Times New Roman" w:cs="Times New Roman"/>
        </w:rPr>
        <w:t xml:space="preserve">. </w:t>
      </w:r>
      <w:r w:rsidR="009E269E">
        <w:rPr>
          <w:rFonts w:ascii="Times New Roman" w:hAnsi="Times New Roman" w:cs="Times New Roman"/>
        </w:rPr>
        <w:t xml:space="preserve">Finally, there will be a </w:t>
      </w:r>
      <w:proofErr w:type="spellStart"/>
      <w:r w:rsidR="009E269E">
        <w:rPr>
          <w:rFonts w:ascii="Times New Roman" w:hAnsi="Times New Roman" w:cs="Times New Roman"/>
        </w:rPr>
        <w:t>backtesting</w:t>
      </w:r>
      <w:proofErr w:type="spellEnd"/>
      <w:r w:rsidR="009E269E">
        <w:rPr>
          <w:rFonts w:ascii="Times New Roman" w:hAnsi="Times New Roman" w:cs="Times New Roman"/>
        </w:rPr>
        <w:t xml:space="preserve"> process to justify the validity of the </w:t>
      </w:r>
      <w:proofErr w:type="spellStart"/>
      <w:r w:rsidR="009E269E">
        <w:rPr>
          <w:rFonts w:ascii="Times New Roman" w:hAnsi="Times New Roman" w:cs="Times New Roman"/>
        </w:rPr>
        <w:t>VaR</w:t>
      </w:r>
      <w:proofErr w:type="spellEnd"/>
      <w:r w:rsidR="009E269E">
        <w:rPr>
          <w:rFonts w:ascii="Times New Roman" w:hAnsi="Times New Roman" w:cs="Times New Roman"/>
        </w:rPr>
        <w:t xml:space="preserve"> model. All</w:t>
      </w:r>
      <w:r w:rsidR="00633598" w:rsidRPr="0078325F">
        <w:rPr>
          <w:rFonts w:ascii="Times New Roman" w:hAnsi="Times New Roman" w:cs="Times New Roman"/>
        </w:rPr>
        <w:t xml:space="preserve"> </w:t>
      </w:r>
      <w:r w:rsidR="00E2620E" w:rsidRPr="0078325F">
        <w:rPr>
          <w:rFonts w:ascii="Times New Roman" w:hAnsi="Times New Roman" w:cs="Times New Roman"/>
        </w:rPr>
        <w:t xml:space="preserve">components will be documented. </w:t>
      </w:r>
    </w:p>
    <w:p w14:paraId="6AA70693" w14:textId="54C10DE6" w:rsidR="00643E04" w:rsidRPr="0078325F" w:rsidRDefault="005104C7" w:rsidP="00D15565">
      <w:pPr>
        <w:pStyle w:val="Heading1"/>
        <w:spacing w:line="276" w:lineRule="auto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  <w:bookmarkStart w:id="10" w:name="_Toc26955570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lastRenderedPageBreak/>
        <w:t>Product Description</w:t>
      </w:r>
      <w:bookmarkEnd w:id="10"/>
    </w:p>
    <w:p w14:paraId="083AC42E" w14:textId="3937B563" w:rsidR="007857C9" w:rsidRDefault="007857C9" w:rsidP="00D155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249B9">
        <w:rPr>
          <w:rFonts w:ascii="Times New Roman" w:hAnsi="Times New Roman" w:cs="Times New Roman"/>
        </w:rPr>
        <w:t xml:space="preserve">product contains two important instruments, one for stock, and one for option. </w:t>
      </w:r>
    </w:p>
    <w:p w14:paraId="42B96E3E" w14:textId="4660BCE0" w:rsidR="00E4336D" w:rsidRPr="0078325F" w:rsidRDefault="001108BB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US Stocks are traded upon New York Stock Exchange (NYSE)</w:t>
      </w:r>
      <w:r w:rsidR="006919FB" w:rsidRPr="0078325F">
        <w:rPr>
          <w:rFonts w:ascii="Times New Roman" w:hAnsi="Times New Roman" w:cs="Times New Roman"/>
        </w:rPr>
        <w:t xml:space="preserve">, </w:t>
      </w:r>
      <w:r w:rsidR="006B7F4B" w:rsidRPr="0078325F">
        <w:rPr>
          <w:rFonts w:ascii="Times New Roman" w:hAnsi="Times New Roman" w:cs="Times New Roman"/>
        </w:rPr>
        <w:t xml:space="preserve">and </w:t>
      </w:r>
      <w:r w:rsidR="006919FB" w:rsidRPr="0078325F">
        <w:rPr>
          <w:rFonts w:ascii="Times New Roman" w:hAnsi="Times New Roman" w:cs="Times New Roman"/>
        </w:rPr>
        <w:t>documentation for th</w:t>
      </w:r>
      <w:r w:rsidR="003A2B04" w:rsidRPr="0078325F">
        <w:rPr>
          <w:rFonts w:ascii="Times New Roman" w:hAnsi="Times New Roman" w:cs="Times New Roman"/>
        </w:rPr>
        <w:t xml:space="preserve">ose </w:t>
      </w:r>
      <w:r w:rsidR="006919FB" w:rsidRPr="0078325F">
        <w:rPr>
          <w:rFonts w:ascii="Times New Roman" w:hAnsi="Times New Roman" w:cs="Times New Roman"/>
        </w:rPr>
        <w:t>compan</w:t>
      </w:r>
      <w:r w:rsidR="003A2B04" w:rsidRPr="0078325F">
        <w:rPr>
          <w:rFonts w:ascii="Times New Roman" w:hAnsi="Times New Roman" w:cs="Times New Roman"/>
        </w:rPr>
        <w:t>ies</w:t>
      </w:r>
      <w:r w:rsidR="006919FB" w:rsidRPr="0078325F">
        <w:rPr>
          <w:rFonts w:ascii="Times New Roman" w:hAnsi="Times New Roman" w:cs="Times New Roman"/>
        </w:rPr>
        <w:t xml:space="preserve"> are filed under Security </w:t>
      </w:r>
      <w:r w:rsidR="00A866E0" w:rsidRPr="0078325F">
        <w:rPr>
          <w:rFonts w:ascii="Times New Roman" w:hAnsi="Times New Roman" w:cs="Times New Roman"/>
        </w:rPr>
        <w:t xml:space="preserve">and </w:t>
      </w:r>
      <w:r w:rsidR="006919FB" w:rsidRPr="0078325F">
        <w:rPr>
          <w:rFonts w:ascii="Times New Roman" w:hAnsi="Times New Roman" w:cs="Times New Roman"/>
        </w:rPr>
        <w:t>Exchange Committee</w:t>
      </w:r>
      <w:r w:rsidR="00A866E0" w:rsidRPr="0078325F">
        <w:rPr>
          <w:rFonts w:ascii="Times New Roman" w:hAnsi="Times New Roman" w:cs="Times New Roman"/>
        </w:rPr>
        <w:t xml:space="preserve"> (SEC)</w:t>
      </w:r>
      <w:r w:rsidR="00034801" w:rsidRPr="0078325F">
        <w:rPr>
          <w:rFonts w:ascii="Times New Roman" w:hAnsi="Times New Roman" w:cs="Times New Roman"/>
        </w:rPr>
        <w:t xml:space="preserve">. </w:t>
      </w:r>
      <w:r w:rsidR="00812BDD">
        <w:rPr>
          <w:rFonts w:ascii="Times New Roman" w:hAnsi="Times New Roman" w:cs="Times New Roman"/>
        </w:rPr>
        <w:t xml:space="preserve">This model </w:t>
      </w:r>
      <w:r w:rsidR="003654FC">
        <w:rPr>
          <w:rFonts w:ascii="Times New Roman" w:hAnsi="Times New Roman" w:cs="Times New Roman"/>
        </w:rPr>
        <w:t>picks</w:t>
      </w:r>
      <w:r w:rsidR="00812BDD">
        <w:rPr>
          <w:rFonts w:ascii="Times New Roman" w:hAnsi="Times New Roman" w:cs="Times New Roman"/>
        </w:rPr>
        <w:t xml:space="preserve"> Ford</w:t>
      </w:r>
      <w:r w:rsidR="003654FC">
        <w:rPr>
          <w:rFonts w:ascii="Times New Roman" w:hAnsi="Times New Roman" w:cs="Times New Roman"/>
        </w:rPr>
        <w:t>’s stock</w:t>
      </w:r>
      <w:r w:rsidR="00812BDD">
        <w:rPr>
          <w:rFonts w:ascii="Times New Roman" w:hAnsi="Times New Roman" w:cs="Times New Roman"/>
        </w:rPr>
        <w:t xml:space="preserve"> and Xerox</w:t>
      </w:r>
      <w:r w:rsidR="003654FC">
        <w:rPr>
          <w:rFonts w:ascii="Times New Roman" w:hAnsi="Times New Roman" w:cs="Times New Roman"/>
        </w:rPr>
        <w:t xml:space="preserve">’s stock into our portfolio.  </w:t>
      </w:r>
    </w:p>
    <w:p w14:paraId="0D3F1F3A" w14:textId="7DD5018C" w:rsidR="005104C7" w:rsidRPr="0078325F" w:rsidRDefault="00E4336D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Option is a derivative that </w:t>
      </w:r>
      <w:r w:rsidR="00886A08" w:rsidRPr="0078325F">
        <w:rPr>
          <w:rFonts w:ascii="Times New Roman" w:hAnsi="Times New Roman" w:cs="Times New Roman"/>
        </w:rPr>
        <w:t xml:space="preserve">provides a right but not an obligation to execute. </w:t>
      </w:r>
      <w:r w:rsidR="00F94E9C" w:rsidRPr="0078325F">
        <w:rPr>
          <w:rFonts w:ascii="Times New Roman" w:hAnsi="Times New Roman" w:cs="Times New Roman"/>
        </w:rPr>
        <w:t>Call option</w:t>
      </w:r>
      <w:r w:rsidR="000043AD" w:rsidRPr="0078325F">
        <w:rPr>
          <w:rFonts w:ascii="Times New Roman" w:hAnsi="Times New Roman" w:cs="Times New Roman"/>
        </w:rPr>
        <w:t>s</w:t>
      </w:r>
      <w:r w:rsidR="00F94E9C" w:rsidRPr="0078325F">
        <w:rPr>
          <w:rFonts w:ascii="Times New Roman" w:hAnsi="Times New Roman" w:cs="Times New Roman"/>
        </w:rPr>
        <w:t xml:space="preserve"> are the </w:t>
      </w:r>
      <w:r w:rsidR="00BD60F1" w:rsidRPr="0078325F">
        <w:rPr>
          <w:rFonts w:ascii="Times New Roman" w:hAnsi="Times New Roman" w:cs="Times New Roman"/>
        </w:rPr>
        <w:t>right</w:t>
      </w:r>
      <w:r w:rsidR="00F94E9C" w:rsidRPr="0078325F">
        <w:rPr>
          <w:rFonts w:ascii="Times New Roman" w:hAnsi="Times New Roman" w:cs="Times New Roman"/>
        </w:rPr>
        <w:t xml:space="preserve"> </w:t>
      </w:r>
      <w:r w:rsidR="00BC7C1A" w:rsidRPr="0078325F">
        <w:rPr>
          <w:rFonts w:ascii="Times New Roman" w:hAnsi="Times New Roman" w:cs="Times New Roman"/>
        </w:rPr>
        <w:t xml:space="preserve">of execution </w:t>
      </w:r>
      <w:r w:rsidR="00F94E9C" w:rsidRPr="0078325F">
        <w:rPr>
          <w:rFonts w:ascii="Times New Roman" w:hAnsi="Times New Roman" w:cs="Times New Roman"/>
        </w:rPr>
        <w:t xml:space="preserve">that </w:t>
      </w:r>
      <w:r w:rsidR="00BC7C1A" w:rsidRPr="0078325F">
        <w:rPr>
          <w:rFonts w:ascii="Times New Roman" w:hAnsi="Times New Roman" w:cs="Times New Roman"/>
        </w:rPr>
        <w:t xml:space="preserve">one </w:t>
      </w:r>
      <w:r w:rsidR="00030C20" w:rsidRPr="0078325F">
        <w:rPr>
          <w:rFonts w:ascii="Times New Roman" w:hAnsi="Times New Roman" w:cs="Times New Roman"/>
        </w:rPr>
        <w:t xml:space="preserve">can purchase a stock </w:t>
      </w:r>
      <w:r w:rsidR="00050FD7" w:rsidRPr="0078325F">
        <w:rPr>
          <w:rFonts w:ascii="Times New Roman" w:hAnsi="Times New Roman" w:cs="Times New Roman"/>
        </w:rPr>
        <w:t>with a predefined price (strike price)</w:t>
      </w:r>
      <w:r w:rsidR="00651824" w:rsidRPr="0078325F">
        <w:rPr>
          <w:rFonts w:ascii="Times New Roman" w:hAnsi="Times New Roman" w:cs="Times New Roman"/>
        </w:rPr>
        <w:t xml:space="preserve"> that could be lower than a stock price at maturity of the contract</w:t>
      </w:r>
      <w:r w:rsidR="00050FD7" w:rsidRPr="0078325F">
        <w:rPr>
          <w:rFonts w:ascii="Times New Roman" w:hAnsi="Times New Roman" w:cs="Times New Roman"/>
        </w:rPr>
        <w:t xml:space="preserve">, </w:t>
      </w:r>
      <w:r w:rsidR="00BD60F1" w:rsidRPr="0078325F">
        <w:rPr>
          <w:rFonts w:ascii="Times New Roman" w:hAnsi="Times New Roman" w:cs="Times New Roman"/>
        </w:rPr>
        <w:t xml:space="preserve">and </w:t>
      </w:r>
      <w:r w:rsidR="000043AD" w:rsidRPr="0078325F">
        <w:rPr>
          <w:rFonts w:ascii="Times New Roman" w:hAnsi="Times New Roman" w:cs="Times New Roman"/>
        </w:rPr>
        <w:t>P</w:t>
      </w:r>
      <w:r w:rsidR="00BC7C1A" w:rsidRPr="0078325F">
        <w:rPr>
          <w:rFonts w:ascii="Times New Roman" w:hAnsi="Times New Roman" w:cs="Times New Roman"/>
        </w:rPr>
        <w:t>ut</w:t>
      </w:r>
      <w:r w:rsidR="00BD60F1" w:rsidRPr="0078325F">
        <w:rPr>
          <w:rFonts w:ascii="Times New Roman" w:hAnsi="Times New Roman" w:cs="Times New Roman"/>
        </w:rPr>
        <w:t xml:space="preserve"> options are </w:t>
      </w:r>
      <w:r w:rsidR="00BC7C1A" w:rsidRPr="0078325F">
        <w:rPr>
          <w:rFonts w:ascii="Times New Roman" w:hAnsi="Times New Roman" w:cs="Times New Roman"/>
        </w:rPr>
        <w:t>the right of execution that one can sell a stock with a predefined price (strike price)</w:t>
      </w:r>
      <w:r w:rsidR="00651824" w:rsidRPr="0078325F">
        <w:rPr>
          <w:rFonts w:ascii="Times New Roman" w:hAnsi="Times New Roman" w:cs="Times New Roman"/>
        </w:rPr>
        <w:t xml:space="preserve"> that could be higher than a stock price at maturity of the contract</w:t>
      </w:r>
      <w:r w:rsidR="00BC7C1A" w:rsidRPr="0078325F">
        <w:rPr>
          <w:rFonts w:ascii="Times New Roman" w:hAnsi="Times New Roman" w:cs="Times New Roman"/>
        </w:rPr>
        <w:t xml:space="preserve">. </w:t>
      </w:r>
      <w:r w:rsidR="00034801" w:rsidRPr="0078325F">
        <w:rPr>
          <w:rFonts w:ascii="Times New Roman" w:hAnsi="Times New Roman" w:cs="Times New Roman"/>
        </w:rPr>
        <w:t xml:space="preserve">The options are </w:t>
      </w:r>
      <w:r w:rsidR="008E0EDF" w:rsidRPr="0078325F">
        <w:rPr>
          <w:rFonts w:ascii="Times New Roman" w:hAnsi="Times New Roman" w:cs="Times New Roman"/>
        </w:rPr>
        <w:t>traded in Chicago Board Options Exchange (CBOE)</w:t>
      </w:r>
      <w:r w:rsidR="00A13016" w:rsidRPr="0078325F">
        <w:rPr>
          <w:rFonts w:ascii="Times New Roman" w:hAnsi="Times New Roman" w:cs="Times New Roman"/>
        </w:rPr>
        <w:t xml:space="preserve"> and American Stock Exchange (AM</w:t>
      </w:r>
      <w:r w:rsidR="006919FB" w:rsidRPr="0078325F">
        <w:rPr>
          <w:rFonts w:ascii="Times New Roman" w:hAnsi="Times New Roman" w:cs="Times New Roman"/>
        </w:rPr>
        <w:t xml:space="preserve">EX). </w:t>
      </w:r>
      <w:r w:rsidR="000043AD" w:rsidRPr="0078325F">
        <w:rPr>
          <w:rFonts w:ascii="Times New Roman" w:hAnsi="Times New Roman" w:cs="Times New Roman"/>
        </w:rPr>
        <w:t xml:space="preserve">In this model, we presume that </w:t>
      </w:r>
      <w:r w:rsidR="00B055E3" w:rsidRPr="0078325F">
        <w:rPr>
          <w:rFonts w:ascii="Times New Roman" w:hAnsi="Times New Roman" w:cs="Times New Roman"/>
        </w:rPr>
        <w:t xml:space="preserve">option traded are European options which can only executed at the maturity. </w:t>
      </w:r>
    </w:p>
    <w:p w14:paraId="62B66057" w14:textId="607898A6" w:rsidR="00097434" w:rsidRPr="0078325F" w:rsidRDefault="00097434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Payoffs of a call option and a put option are: </w:t>
      </w:r>
    </w:p>
    <w:p w14:paraId="0D850E05" w14:textId="4F99B155" w:rsidR="00097434" w:rsidRPr="0078325F" w:rsidRDefault="007849F0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call option payoff 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- K,0</m:t>
                  </m:r>
                </m:e>
              </m:d>
            </m:e>
          </m:func>
        </m:oMath>
      </m:oMathPara>
    </w:p>
    <w:p w14:paraId="0E5EB62E" w14:textId="7EB8FF3F" w:rsidR="00D30D23" w:rsidRDefault="00734A8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put option payoff 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K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,0</m:t>
                  </m:r>
                </m:e>
              </m:d>
            </m:e>
          </m:func>
        </m:oMath>
      </m:oMathPara>
    </w:p>
    <w:p w14:paraId="0A755189" w14:textId="49761801" w:rsidR="008E119B" w:rsidRDefault="000F0DA3" w:rsidP="00D155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model, </w:t>
      </w:r>
      <w:r w:rsidR="00D30D23">
        <w:rPr>
          <w:rFonts w:ascii="Times New Roman" w:hAnsi="Times New Roman" w:cs="Times New Roman"/>
        </w:rPr>
        <w:t xml:space="preserve">S&amp;P 500 </w:t>
      </w:r>
      <w:r w:rsidR="00334F5E">
        <w:rPr>
          <w:rFonts w:ascii="Times New Roman" w:hAnsi="Times New Roman" w:cs="Times New Roman"/>
        </w:rPr>
        <w:t>Index Option was chosen</w:t>
      </w:r>
      <w:r w:rsidR="009F02B9">
        <w:rPr>
          <w:rFonts w:ascii="Times New Roman" w:hAnsi="Times New Roman" w:cs="Times New Roman"/>
        </w:rPr>
        <w:t>. Op</w:t>
      </w:r>
      <w:r>
        <w:rPr>
          <w:rFonts w:ascii="Times New Roman" w:hAnsi="Times New Roman" w:cs="Times New Roman"/>
        </w:rPr>
        <w:t>tion contract</w:t>
      </w:r>
      <w:r w:rsidR="009F02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all At-The-Money (that is, the spot price </w:t>
      </w:r>
      <w:r w:rsidR="007C1BB8">
        <w:rPr>
          <w:rFonts w:ascii="Times New Roman" w:hAnsi="Times New Roman" w:cs="Times New Roman"/>
        </w:rPr>
        <w:t>equals to the strike price)</w:t>
      </w:r>
      <w:r w:rsidR="004852EA">
        <w:rPr>
          <w:rFonts w:ascii="Times New Roman" w:hAnsi="Times New Roman" w:cs="Times New Roman"/>
        </w:rPr>
        <w:t xml:space="preserve">, with its Time-to-Maturity as </w:t>
      </w:r>
      <w:r w:rsidR="00633FAF">
        <w:rPr>
          <w:rFonts w:ascii="Times New Roman" w:hAnsi="Times New Roman" w:cs="Times New Roman"/>
        </w:rPr>
        <w:t>one year (12 month)</w:t>
      </w:r>
      <w:r w:rsidR="0077663B">
        <w:rPr>
          <w:rFonts w:ascii="Times New Roman" w:hAnsi="Times New Roman" w:cs="Times New Roman"/>
        </w:rPr>
        <w:t xml:space="preserve">. </w:t>
      </w:r>
      <w:r w:rsidR="009F02B9">
        <w:rPr>
          <w:rFonts w:ascii="Times New Roman" w:hAnsi="Times New Roman" w:cs="Times New Roman"/>
        </w:rPr>
        <w:t>In addition, it is presumed that implied volatility of an option contract is a flat surface which is insensitive to time-to-maturity and strike price.</w:t>
      </w:r>
    </w:p>
    <w:p w14:paraId="5283BA86" w14:textId="3EA7611E" w:rsidR="004B413C" w:rsidRPr="0078325F" w:rsidRDefault="004B413C" w:rsidP="00D155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have been already downloaded</w:t>
      </w:r>
      <w:r w:rsidR="001326DF">
        <w:rPr>
          <w:rFonts w:ascii="Times New Roman" w:hAnsi="Times New Roman" w:cs="Times New Roman"/>
        </w:rPr>
        <w:t xml:space="preserve"> </w:t>
      </w:r>
      <w:r w:rsidR="00D055F0">
        <w:rPr>
          <w:rFonts w:ascii="Times New Roman" w:hAnsi="Times New Roman" w:cs="Times New Roman"/>
        </w:rPr>
        <w:t xml:space="preserve">whose </w:t>
      </w:r>
      <w:r w:rsidR="004025B9">
        <w:rPr>
          <w:rFonts w:ascii="Times New Roman" w:hAnsi="Times New Roman" w:cs="Times New Roman"/>
        </w:rPr>
        <w:t xml:space="preserve">latest date is 8/30/2019. </w:t>
      </w:r>
      <w:r w:rsidR="000914AE">
        <w:rPr>
          <w:rFonts w:ascii="Times New Roman" w:hAnsi="Times New Roman" w:cs="Times New Roman"/>
        </w:rPr>
        <w:t xml:space="preserve">Time when the portfolio was purchased </w:t>
      </w:r>
      <w:r w:rsidR="001C1A32">
        <w:rPr>
          <w:rFonts w:ascii="Times New Roman" w:hAnsi="Times New Roman" w:cs="Times New Roman"/>
        </w:rPr>
        <w:t>is 09/0</w:t>
      </w:r>
      <w:r w:rsidR="003D6691">
        <w:rPr>
          <w:rFonts w:ascii="Times New Roman" w:hAnsi="Times New Roman" w:cs="Times New Roman"/>
        </w:rPr>
        <w:t>5</w:t>
      </w:r>
      <w:r w:rsidR="001C1A32">
        <w:rPr>
          <w:rFonts w:ascii="Times New Roman" w:hAnsi="Times New Roman" w:cs="Times New Roman"/>
        </w:rPr>
        <w:t>/1997</w:t>
      </w:r>
      <w:r w:rsidR="003D6691">
        <w:rPr>
          <w:rFonts w:ascii="Times New Roman" w:hAnsi="Times New Roman" w:cs="Times New Roman"/>
        </w:rPr>
        <w:t xml:space="preserve">. </w:t>
      </w:r>
    </w:p>
    <w:p w14:paraId="1EDDCD53" w14:textId="328285AB" w:rsidR="004221F7" w:rsidRPr="0078325F" w:rsidRDefault="00815CBA" w:rsidP="00D15565">
      <w:pPr>
        <w:pStyle w:val="Heading1"/>
        <w:spacing w:line="276" w:lineRule="auto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  <w:bookmarkStart w:id="11" w:name="_Toc26955571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t>Pricing Model Description</w:t>
      </w:r>
      <w:bookmarkEnd w:id="11"/>
    </w:p>
    <w:p w14:paraId="502229F0" w14:textId="7C93C131" w:rsidR="004A7943" w:rsidRPr="0078325F" w:rsidRDefault="007229F0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Pricing Model appli</w:t>
      </w:r>
      <w:r w:rsidR="006A40B3" w:rsidRPr="0078325F">
        <w:rPr>
          <w:rFonts w:ascii="Times New Roman" w:hAnsi="Times New Roman" w:cs="Times New Roman"/>
        </w:rPr>
        <w:t xml:space="preserve">es Black-Scholes formula in Option pricing calculation. </w:t>
      </w:r>
      <w:r w:rsidR="00F82754" w:rsidRPr="0078325F">
        <w:rPr>
          <w:rFonts w:ascii="Times New Roman" w:hAnsi="Times New Roman" w:cs="Times New Roman"/>
        </w:rPr>
        <w:t>Black-Scholes formula</w:t>
      </w:r>
      <w:r w:rsidR="004A7943" w:rsidRPr="0078325F">
        <w:rPr>
          <w:rFonts w:ascii="Times New Roman" w:hAnsi="Times New Roman" w:cs="Times New Roman"/>
        </w:rPr>
        <w:t xml:space="preserve"> assume</w:t>
      </w:r>
      <w:r w:rsidR="00F82754" w:rsidRPr="0078325F">
        <w:rPr>
          <w:rFonts w:ascii="Times New Roman" w:hAnsi="Times New Roman" w:cs="Times New Roman"/>
        </w:rPr>
        <w:t>s</w:t>
      </w:r>
      <w:r w:rsidR="004A7943" w:rsidRPr="0078325F">
        <w:rPr>
          <w:rFonts w:ascii="Times New Roman" w:hAnsi="Times New Roman" w:cs="Times New Roman"/>
        </w:rPr>
        <w:t xml:space="preserve"> that </w:t>
      </w:r>
      <w:r w:rsidR="003F6187" w:rsidRPr="0078325F">
        <w:rPr>
          <w:rFonts w:ascii="Times New Roman" w:hAnsi="Times New Roman" w:cs="Times New Roman"/>
        </w:rPr>
        <w:t>a non-dividend</w:t>
      </w:r>
      <w:r w:rsidR="004A7943" w:rsidRPr="0078325F">
        <w:rPr>
          <w:rFonts w:ascii="Times New Roman" w:hAnsi="Times New Roman" w:cs="Times New Roman"/>
        </w:rPr>
        <w:t xml:space="preserve"> stock price follows a Geometric Brownian Motion, given the initial condition of the stock price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4A7943" w:rsidRPr="0078325F">
        <w:rPr>
          <w:rFonts w:ascii="Times New Roman" w:hAnsi="Times New Roman" w:cs="Times New Roman"/>
        </w:rPr>
        <w:t xml:space="preserve">: </w:t>
      </w:r>
    </w:p>
    <w:p w14:paraId="21DB8C69" w14:textId="77777777" w:rsidR="004A7943" w:rsidRPr="0078325F" w:rsidRDefault="004A7943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dt+σ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4A1B658A" w14:textId="3FDA5214" w:rsidR="004A7943" w:rsidRPr="0078325F" w:rsidRDefault="004A7943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where µ is the drift of the stock price, and σ is the volatility of the stock price. </w:t>
      </w:r>
    </w:p>
    <w:p w14:paraId="05187226" w14:textId="74B3E14D" w:rsidR="001229E0" w:rsidRPr="0078325F" w:rsidRDefault="0025591C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The Black-Scholes</w:t>
      </w:r>
      <w:r w:rsidR="008C34E5" w:rsidRPr="0078325F">
        <w:rPr>
          <w:rFonts w:ascii="Times New Roman" w:hAnsi="Times New Roman" w:cs="Times New Roman"/>
        </w:rPr>
        <w:t>-Merton</w:t>
      </w:r>
      <w:r w:rsidRPr="0078325F">
        <w:rPr>
          <w:rFonts w:ascii="Times New Roman" w:hAnsi="Times New Roman" w:cs="Times New Roman"/>
        </w:rPr>
        <w:t xml:space="preserve"> Model implies </w:t>
      </w:r>
      <w:r w:rsidR="003024B8" w:rsidRPr="0078325F">
        <w:rPr>
          <w:rFonts w:ascii="Times New Roman" w:hAnsi="Times New Roman" w:cs="Times New Roman"/>
        </w:rPr>
        <w:t>a risk-neutral, no-arbitra</w:t>
      </w:r>
      <w:r w:rsidR="00BB2AF7" w:rsidRPr="0078325F">
        <w:rPr>
          <w:rFonts w:ascii="Times New Roman" w:hAnsi="Times New Roman" w:cs="Times New Roman"/>
        </w:rPr>
        <w:t xml:space="preserve">ge market under a </w:t>
      </w:r>
      <w:r w:rsidR="009A1391" w:rsidRPr="0078325F">
        <w:rPr>
          <w:rFonts w:ascii="Times New Roman" w:hAnsi="Times New Roman" w:cs="Times New Roman"/>
        </w:rPr>
        <w:t xml:space="preserve">constant </w:t>
      </w:r>
      <w:r w:rsidR="00BB2AF7" w:rsidRPr="0078325F">
        <w:rPr>
          <w:rFonts w:ascii="Times New Roman" w:hAnsi="Times New Roman" w:cs="Times New Roman"/>
        </w:rPr>
        <w:t>risk-free rate r</w:t>
      </w:r>
      <w:r w:rsidR="006765C5" w:rsidRPr="0078325F">
        <w:rPr>
          <w:rFonts w:ascii="Times New Roman" w:hAnsi="Times New Roman" w:cs="Times New Roman"/>
        </w:rPr>
        <w:t xml:space="preserve">, </w:t>
      </w:r>
      <w:r w:rsidR="00C64BF5" w:rsidRPr="0078325F">
        <w:rPr>
          <w:rFonts w:ascii="Times New Roman" w:hAnsi="Times New Roman" w:cs="Times New Roman"/>
        </w:rPr>
        <w:t xml:space="preserve">with assumptions of </w:t>
      </w:r>
      <w:r w:rsidR="00A82451" w:rsidRPr="0078325F">
        <w:rPr>
          <w:rFonts w:ascii="Times New Roman" w:hAnsi="Times New Roman" w:cs="Times New Roman"/>
        </w:rPr>
        <w:t xml:space="preserve">a </w:t>
      </w:r>
      <w:r w:rsidR="0063173C" w:rsidRPr="0078325F">
        <w:rPr>
          <w:rFonts w:ascii="Times New Roman" w:hAnsi="Times New Roman" w:cs="Times New Roman"/>
        </w:rPr>
        <w:t xml:space="preserve">stock price following </w:t>
      </w:r>
      <w:r w:rsidR="00C64BF5" w:rsidRPr="0078325F">
        <w:rPr>
          <w:rFonts w:ascii="Times New Roman" w:hAnsi="Times New Roman" w:cs="Times New Roman"/>
        </w:rPr>
        <w:t>a Geometric Brownian Motion</w:t>
      </w:r>
      <w:r w:rsidR="001229E0" w:rsidRPr="0078325F">
        <w:rPr>
          <w:rFonts w:ascii="Times New Roman" w:hAnsi="Times New Roman" w:cs="Times New Roman"/>
        </w:rPr>
        <w:t>. Black and Scholes derived a Partial Differential Equations for the solution of the option: Suppose V(S(t</w:t>
      </w:r>
      <w:proofErr w:type="gramStart"/>
      <w:r w:rsidR="001229E0" w:rsidRPr="0078325F">
        <w:rPr>
          <w:rFonts w:ascii="Times New Roman" w:hAnsi="Times New Roman" w:cs="Times New Roman"/>
        </w:rPr>
        <w:t>),t</w:t>
      </w:r>
      <w:proofErr w:type="gramEnd"/>
      <w:r w:rsidR="001229E0" w:rsidRPr="0078325F">
        <w:rPr>
          <w:rFonts w:ascii="Times New Roman" w:hAnsi="Times New Roman" w:cs="Times New Roman"/>
        </w:rPr>
        <w:t>) is the option, and S(t) is the stock price</w:t>
      </w:r>
      <w:r w:rsidR="00660AAB" w:rsidRPr="0078325F">
        <w:rPr>
          <w:rFonts w:ascii="Times New Roman" w:hAnsi="Times New Roman" w:cs="Times New Roman"/>
        </w:rPr>
        <w:t xml:space="preserve">, </w:t>
      </w:r>
      <w:r w:rsidR="003835E3" w:rsidRPr="0078325F">
        <w:rPr>
          <w:rFonts w:ascii="Times New Roman" w:hAnsi="Times New Roman" w:cs="Times New Roman"/>
        </w:rPr>
        <w:t>by applying Ito’s lemma,</w:t>
      </w:r>
      <w:r w:rsidR="00B5353D" w:rsidRPr="0078325F">
        <w:rPr>
          <w:rFonts w:ascii="Times New Roman" w:hAnsi="Times New Roman" w:cs="Times New Roman"/>
        </w:rPr>
        <w:t xml:space="preserve"> the </w:t>
      </w:r>
      <w:r w:rsidR="00CF3BC9" w:rsidRPr="0078325F">
        <w:rPr>
          <w:rFonts w:ascii="Times New Roman" w:hAnsi="Times New Roman" w:cs="Times New Roman"/>
        </w:rPr>
        <w:t>whole differentiation becomes</w:t>
      </w:r>
      <w:r w:rsidR="003835E3" w:rsidRPr="0078325F">
        <w:rPr>
          <w:rFonts w:ascii="Times New Roman" w:hAnsi="Times New Roman" w:cs="Times New Roman"/>
        </w:rPr>
        <w:t xml:space="preserve">: </w:t>
      </w:r>
    </w:p>
    <w:p w14:paraId="5251AE34" w14:textId="77777777" w:rsidR="002B3DB1" w:rsidRPr="0078325F" w:rsidRDefault="00BC7C41" w:rsidP="00D15565">
      <w:pPr>
        <w:spacing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dS+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E7F3AB9" w14:textId="47CF5108" w:rsidR="00815CBA" w:rsidRPr="0078325F" w:rsidRDefault="00967FD4" w:rsidP="00D15565">
      <w:pPr>
        <w:spacing w:line="276" w:lineRule="auto"/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dt+σS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dt+σS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77648E1F" w14:textId="00CC298B" w:rsidR="00762237" w:rsidRPr="0078325F" w:rsidRDefault="00762237" w:rsidP="00D15565">
      <w:pPr>
        <w:spacing w:line="276" w:lineRule="auto"/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∂S</m:t>
                  </m:r>
                </m:den>
              </m:f>
              <m:r>
                <w:rPr>
                  <w:rFonts w:ascii="Cambria Math" w:hAnsi="Cambria Math" w:cs="Times New Roman"/>
                </w:rPr>
                <m:t>μS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dt+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∂S</m:t>
                  </m:r>
                </m:den>
              </m:f>
              <m:r>
                <w:rPr>
                  <w:rFonts w:ascii="Cambria Math" w:hAnsi="Cambria Math" w:cs="Times New Roman"/>
                </w:rPr>
                <m:t>σS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7F9D52CA" w14:textId="0FA2A7A2" w:rsidR="006A47F0" w:rsidRPr="0078325F" w:rsidRDefault="005652D2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Under Risk-neutral Distribution,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  <m:r>
          <w:rPr>
            <w:rFonts w:ascii="Cambria Math" w:hAnsi="Cambria Math" w:cs="Times New Roman"/>
          </w:rPr>
          <m:t>μS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=rV</m:t>
        </m:r>
      </m:oMath>
      <w:r w:rsidR="002D3B0A" w:rsidRPr="0078325F">
        <w:rPr>
          <w:rFonts w:ascii="Times New Roman" w:hAnsi="Times New Roman" w:cs="Times New Roman"/>
        </w:rPr>
        <w:t>, which is the Black-Schole</w:t>
      </w:r>
      <w:r w:rsidR="002F210E" w:rsidRPr="0078325F">
        <w:rPr>
          <w:rFonts w:ascii="Times New Roman" w:hAnsi="Times New Roman" w:cs="Times New Roman"/>
        </w:rPr>
        <w:t>s</w:t>
      </w:r>
      <w:r w:rsidR="002D3B0A" w:rsidRPr="0078325F">
        <w:rPr>
          <w:rFonts w:ascii="Times New Roman" w:hAnsi="Times New Roman" w:cs="Times New Roman"/>
        </w:rPr>
        <w:t xml:space="preserve"> Partial Differential Equation</w:t>
      </w:r>
      <w:r w:rsidR="00003294" w:rsidRPr="0078325F">
        <w:rPr>
          <w:rFonts w:ascii="Times New Roman" w:hAnsi="Times New Roman" w:cs="Times New Roman"/>
        </w:rPr>
        <w:t xml:space="preserve"> The boundary condition of the PDE is the payoff of the options</w:t>
      </w:r>
      <w:r w:rsidR="002D3B0A" w:rsidRPr="0078325F">
        <w:rPr>
          <w:rFonts w:ascii="Times New Roman" w:hAnsi="Times New Roman" w:cs="Times New Roman"/>
        </w:rPr>
        <w:t xml:space="preserve">. </w:t>
      </w:r>
    </w:p>
    <w:p w14:paraId="46F013B1" w14:textId="626A2793" w:rsidR="00074091" w:rsidRPr="0078325F" w:rsidRDefault="006A47F0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Another perspective is </w:t>
      </w:r>
      <w:r w:rsidR="008038AB" w:rsidRPr="0078325F">
        <w:rPr>
          <w:rFonts w:ascii="Times New Roman" w:hAnsi="Times New Roman" w:cs="Times New Roman"/>
        </w:rPr>
        <w:t xml:space="preserve">the usage of </w:t>
      </w:r>
      <w:r w:rsidR="00CB104F" w:rsidRPr="0078325F">
        <w:rPr>
          <w:rFonts w:ascii="Times New Roman" w:hAnsi="Times New Roman" w:cs="Times New Roman"/>
        </w:rPr>
        <w:t xml:space="preserve">a numeraire. </w:t>
      </w:r>
      <w:r w:rsidR="00655FD2" w:rsidRPr="0078325F">
        <w:rPr>
          <w:rFonts w:ascii="Times New Roman" w:hAnsi="Times New Roman" w:cs="Times New Roman"/>
        </w:rPr>
        <w:t>A</w:t>
      </w:r>
      <w:r w:rsidR="003813BD" w:rsidRPr="0078325F">
        <w:rPr>
          <w:rFonts w:ascii="Times New Roman" w:hAnsi="Times New Roman" w:cs="Times New Roman"/>
        </w:rPr>
        <w:t xml:space="preserve"> </w:t>
      </w:r>
      <w:r w:rsidR="00AE673D" w:rsidRPr="0078325F">
        <w:rPr>
          <w:rFonts w:ascii="Times New Roman" w:hAnsi="Times New Roman" w:cs="Times New Roman"/>
        </w:rPr>
        <w:t xml:space="preserve">money market </w:t>
      </w:r>
      <w:r w:rsidR="00B666B2" w:rsidRPr="0078325F">
        <w:rPr>
          <w:rFonts w:ascii="Times New Roman" w:hAnsi="Times New Roman" w:cs="Times New Roman"/>
        </w:rPr>
        <w:t xml:space="preserve">account </w:t>
      </w:r>
      <w:r w:rsidR="00AE673D" w:rsidRPr="0078325F">
        <w:rPr>
          <w:rFonts w:ascii="Times New Roman" w:hAnsi="Times New Roman" w:cs="Times New Roman"/>
        </w:rPr>
        <w:t xml:space="preserve">numeraire B </w:t>
      </w:r>
      <w:r w:rsidR="00655FD2" w:rsidRPr="0078325F">
        <w:rPr>
          <w:rFonts w:ascii="Times New Roman" w:hAnsi="Times New Roman" w:cs="Times New Roman"/>
        </w:rPr>
        <w:t xml:space="preserve">is specified </w:t>
      </w:r>
      <w:r w:rsidR="002D43C3" w:rsidRPr="0078325F">
        <w:rPr>
          <w:rFonts w:ascii="Times New Roman" w:hAnsi="Times New Roman" w:cs="Times New Roman"/>
        </w:rPr>
        <w:t>under risk-neutral distribution</w:t>
      </w:r>
      <w:r w:rsidR="00E30250" w:rsidRPr="0078325F">
        <w:rPr>
          <w:rFonts w:ascii="Times New Roman" w:hAnsi="Times New Roman" w:cs="Times New Roman"/>
        </w:rPr>
        <w:t xml:space="preserve">, given the </w:t>
      </w:r>
      <w:r w:rsidR="003F3ED4" w:rsidRPr="0078325F">
        <w:rPr>
          <w:rFonts w:ascii="Times New Roman" w:hAnsi="Times New Roman" w:cs="Times New Roman"/>
        </w:rPr>
        <w:t xml:space="preserve">initial condition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800461" w:rsidRPr="0078325F">
        <w:rPr>
          <w:rFonts w:ascii="Times New Roman" w:hAnsi="Times New Roman" w:cs="Times New Roman"/>
        </w:rPr>
        <w:t xml:space="preserve"> </w:t>
      </w:r>
      <w:r w:rsidR="00655FD2" w:rsidRPr="0078325F">
        <w:rPr>
          <w:rFonts w:ascii="Times New Roman" w:hAnsi="Times New Roman" w:cs="Times New Roman"/>
        </w:rPr>
        <w:t xml:space="preserve">: </w:t>
      </w:r>
    </w:p>
    <w:p w14:paraId="706B08D3" w14:textId="7B52E75B" w:rsidR="005D0D58" w:rsidRPr="0078325F" w:rsidRDefault="00655FD2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=r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dt</m:t>
          </m:r>
        </m:oMath>
      </m:oMathPara>
    </w:p>
    <w:p w14:paraId="20C4CFDE" w14:textId="597AD589" w:rsidR="0091540B" w:rsidRPr="0078325F" w:rsidRDefault="0091540B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Applying Ito’s lemma, this could be rewritten as: </w:t>
      </w:r>
    </w:p>
    <w:p w14:paraId="3682863F" w14:textId="3A460DB3" w:rsidR="00276B50" w:rsidRPr="0078325F" w:rsidRDefault="0091540B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dln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dt+σd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2C8863FF" w14:textId="2AF23325" w:rsidR="0091540B" w:rsidRPr="0078325F" w:rsidRDefault="0091540B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dln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=rdt</m:t>
          </m:r>
        </m:oMath>
      </m:oMathPara>
    </w:p>
    <w:p w14:paraId="7BC2082D" w14:textId="65C5013E" w:rsidR="00653CCC" w:rsidRPr="0078325F" w:rsidRDefault="00316CF4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That is, </w:t>
      </w:r>
      <m:oMath>
        <m:r>
          <w:rPr>
            <w:rFonts w:ascii="Cambria Math" w:hAnsi="Cambria Math" w:cs="Times New Roman"/>
          </w:rPr>
          <m:t>ln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~N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μ-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T,σ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rad>
          </m:e>
        </m:d>
      </m:oMath>
      <w:r w:rsidR="00BB7D03" w:rsidRPr="0078325F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=ln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+rT</m:t>
        </m:r>
      </m:oMath>
    </w:p>
    <w:p w14:paraId="5F016189" w14:textId="4925B18D" w:rsidR="00EF64F8" w:rsidRPr="0078325F" w:rsidRDefault="00065126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Hence, </w:t>
      </w:r>
      <w:r w:rsidR="00727921" w:rsidRPr="0078325F">
        <w:rPr>
          <w:rFonts w:ascii="Times New Roman" w:hAnsi="Times New Roman" w:cs="Times New Roman"/>
        </w:rPr>
        <w:t>t</w:t>
      </w:r>
      <w:r w:rsidR="001D0DED" w:rsidRPr="0078325F">
        <w:rPr>
          <w:rFonts w:ascii="Times New Roman" w:hAnsi="Times New Roman" w:cs="Times New Roman"/>
        </w:rPr>
        <w:t xml:space="preserve">he pricing formula of </w:t>
      </w:r>
      <w:r w:rsidR="00ED3BBE" w:rsidRPr="0078325F">
        <w:rPr>
          <w:rFonts w:ascii="Times New Roman" w:hAnsi="Times New Roman" w:cs="Times New Roman"/>
        </w:rPr>
        <w:t>Option</w:t>
      </w:r>
      <w:r w:rsidR="00AA226B" w:rsidRPr="0078325F">
        <w:rPr>
          <w:rFonts w:ascii="Times New Roman" w:hAnsi="Times New Roman" w:cs="Times New Roman"/>
        </w:rPr>
        <w:t xml:space="preserve">, denoted as V, </w:t>
      </w:r>
      <w:r w:rsidR="00ED3BBE" w:rsidRPr="0078325F">
        <w:rPr>
          <w:rFonts w:ascii="Times New Roman" w:hAnsi="Times New Roman" w:cs="Times New Roman"/>
        </w:rPr>
        <w:t>i</w:t>
      </w:r>
      <w:r w:rsidR="002A643E" w:rsidRPr="0078325F">
        <w:rPr>
          <w:rFonts w:ascii="Times New Roman" w:hAnsi="Times New Roman" w:cs="Times New Roman"/>
        </w:rPr>
        <w:t>s calculated under a risk</w:t>
      </w:r>
      <w:r w:rsidR="00FA2127" w:rsidRPr="0078325F">
        <w:rPr>
          <w:rFonts w:ascii="Times New Roman" w:hAnsi="Times New Roman" w:cs="Times New Roman"/>
        </w:rPr>
        <w:t>-neutral distribution Q</w:t>
      </w:r>
      <w:r w:rsidR="0094584A" w:rsidRPr="0078325F">
        <w:rPr>
          <w:rFonts w:ascii="Times New Roman" w:hAnsi="Times New Roman" w:cs="Times New Roman"/>
        </w:rPr>
        <w:t xml:space="preserve"> if risk-free return is non-stochastic</w:t>
      </w:r>
      <w:r w:rsidR="00ED3BBE" w:rsidRPr="0078325F">
        <w:rPr>
          <w:rFonts w:ascii="Times New Roman" w:hAnsi="Times New Roman" w:cs="Times New Roman"/>
        </w:rPr>
        <w:t xml:space="preserve">: </w:t>
      </w:r>
    </w:p>
    <w:p w14:paraId="331D2FD2" w14:textId="2AA4B6DC" w:rsidR="0094584A" w:rsidRPr="0078325F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-rT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</m:oMath>
      </m:oMathPara>
    </w:p>
    <w:p w14:paraId="627A1C5D" w14:textId="19B26800" w:rsidR="007910A0" w:rsidRPr="0078325F" w:rsidRDefault="00523075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Q~N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t,σ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rad>
          </m:e>
        </m:d>
      </m:oMath>
    </w:p>
    <w:p w14:paraId="49A38FDB" w14:textId="24F42D82" w:rsidR="00F00038" w:rsidRPr="0078325F" w:rsidRDefault="00E368E1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Hence, price for a call option </w:t>
      </w:r>
      <m:oMath>
        <m:r>
          <w:rPr>
            <w:rFonts w:ascii="Cambria Math" w:hAnsi="Cambria Math" w:cs="Times New Roman"/>
          </w:rPr>
          <m:t>C(S,K,σ,r,T)</m:t>
        </m:r>
      </m:oMath>
      <w:r w:rsidR="007D7B1C" w:rsidRPr="0078325F">
        <w:rPr>
          <w:rFonts w:ascii="Times New Roman" w:hAnsi="Times New Roman" w:cs="Times New Roman"/>
        </w:rPr>
        <w:t xml:space="preserve"> </w:t>
      </w:r>
      <w:r w:rsidRPr="0078325F">
        <w:rPr>
          <w:rFonts w:ascii="Times New Roman" w:hAnsi="Times New Roman" w:cs="Times New Roman"/>
        </w:rPr>
        <w:t xml:space="preserve">is: </w:t>
      </w:r>
    </w:p>
    <w:p w14:paraId="46828F1F" w14:textId="54C5E574" w:rsidR="00276619" w:rsidRPr="0078325F" w:rsidRDefault="00425ACF" w:rsidP="00D15565">
      <w:pPr>
        <w:spacing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S,K,σ,r,T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- K,0</m:t>
                      </m:r>
                    </m:e>
                  </m:d>
                </m:e>
              </m:func>
            </m:e>
          </m:d>
        </m:oMath>
      </m:oMathPara>
    </w:p>
    <w:p w14:paraId="444FC979" w14:textId="0AF1B498" w:rsidR="00C37442" w:rsidRPr="0078325F" w:rsidRDefault="00C37442" w:rsidP="00D15565">
      <w:pPr>
        <w:spacing w:line="276" w:lineRule="auto"/>
        <w:ind w:left="144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lnK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- 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ra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dln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7D91032F" w14:textId="10149F63" w:rsidR="00255AD5" w:rsidRPr="0078325F" w:rsidRDefault="006E0A21" w:rsidP="00D15565">
      <w:pPr>
        <w:spacing w:line="276" w:lineRule="auto"/>
        <w:ind w:left="144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=SN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-K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02334481" w14:textId="6BD69765" w:rsidR="00A769DD" w:rsidRPr="0078325F" w:rsidRDefault="00BF0B25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And price for a put option </w:t>
      </w:r>
      <m:oMath>
        <m:r>
          <w:rPr>
            <w:rFonts w:ascii="Cambria Math" w:hAnsi="Cambria Math" w:cs="Times New Roman"/>
          </w:rPr>
          <m:t>P(S,K,σ,r,T)</m:t>
        </m:r>
      </m:oMath>
      <w:r w:rsidRPr="0078325F">
        <w:rPr>
          <w:rFonts w:ascii="Times New Roman" w:hAnsi="Times New Roman" w:cs="Times New Roman"/>
        </w:rPr>
        <w:t xml:space="preserve"> is: </w:t>
      </w:r>
    </w:p>
    <w:p w14:paraId="23A2B239" w14:textId="33F7E327" w:rsidR="00BF0B25" w:rsidRPr="0078325F" w:rsidRDefault="00BF0B25" w:rsidP="00D15565">
      <w:pPr>
        <w:spacing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S,K,σ,r,T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K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,0</m:t>
                      </m:r>
                    </m:e>
                  </m:d>
                </m:e>
              </m:func>
            </m:e>
          </m:d>
        </m:oMath>
      </m:oMathPara>
    </w:p>
    <w:p w14:paraId="4F20EFF2" w14:textId="294FFFD9" w:rsidR="00BF0B25" w:rsidRPr="0078325F" w:rsidRDefault="00BF0B25" w:rsidP="00D15565">
      <w:pPr>
        <w:spacing w:line="276" w:lineRule="auto"/>
        <w:ind w:left="144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lnK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K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2πσ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ra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dln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7D16E964" w14:textId="2DAEF7A5" w:rsidR="00BF0B25" w:rsidRPr="0078325F" w:rsidRDefault="00BF0B25" w:rsidP="00D15565">
      <w:pPr>
        <w:spacing w:line="276" w:lineRule="auto"/>
        <w:ind w:left="144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-rT</m:t>
              </m:r>
            </m:sup>
          </m:sSup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-SN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593532E3" w14:textId="741D74E8" w:rsidR="00EF1478" w:rsidRPr="0078325F" w:rsidRDefault="00391C41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.</m:t>
            </m:r>
          </m:e>
        </m:d>
      </m:oMath>
      <w:r w:rsidR="00DA2132" w:rsidRPr="0078325F">
        <w:rPr>
          <w:rFonts w:ascii="Times New Roman" w:hAnsi="Times New Roman" w:cs="Times New Roman"/>
        </w:rPr>
        <w:t xml:space="preserve"> is the </w:t>
      </w:r>
      <w:r w:rsidR="00D35359" w:rsidRPr="0078325F">
        <w:rPr>
          <w:rFonts w:ascii="Times New Roman" w:hAnsi="Times New Roman" w:cs="Times New Roman"/>
        </w:rPr>
        <w:t xml:space="preserve">Standard </w:t>
      </w:r>
      <w:r w:rsidR="00DA2132" w:rsidRPr="0078325F">
        <w:rPr>
          <w:rFonts w:ascii="Times New Roman" w:hAnsi="Times New Roman" w:cs="Times New Roman"/>
        </w:rPr>
        <w:t>Normal Cumulative Den</w:t>
      </w:r>
      <w:r w:rsidR="00D35359" w:rsidRPr="0078325F">
        <w:rPr>
          <w:rFonts w:ascii="Times New Roman" w:hAnsi="Times New Roman" w:cs="Times New Roman"/>
        </w:rPr>
        <w:t xml:space="preserve">sity </w:t>
      </w:r>
      <w:proofErr w:type="gramStart"/>
      <w:r w:rsidR="00D35359" w:rsidRPr="0078325F">
        <w:rPr>
          <w:rFonts w:ascii="Times New Roman" w:hAnsi="Times New Roman" w:cs="Times New Roman"/>
        </w:rPr>
        <w:t>Function.</w:t>
      </w:r>
      <w:proofErr w:type="gramEnd"/>
      <w:r w:rsidR="00D35359" w:rsidRPr="0078325F">
        <w:rPr>
          <w:rFonts w:ascii="Times New Roman" w:hAnsi="Times New Roman" w:cs="Times New Roman"/>
        </w:rPr>
        <w:t xml:space="preserve"> </w:t>
      </w:r>
    </w:p>
    <w:p w14:paraId="73F8AB19" w14:textId="1B19D516" w:rsidR="00F47F6C" w:rsidRPr="0078325F" w:rsidRDefault="00F47F6C" w:rsidP="00D15565">
      <w:pPr>
        <w:pStyle w:val="Heading2"/>
        <w:spacing w:line="276" w:lineRule="auto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  <w:bookmarkStart w:id="12" w:name="_Toc26955572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t>Pricing Model Calibration</w:t>
      </w:r>
      <w:bookmarkEnd w:id="12"/>
    </w:p>
    <w:p w14:paraId="7014648F" w14:textId="59BCC886" w:rsidR="00830A0E" w:rsidRPr="0078325F" w:rsidRDefault="00516AE9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The pricing model inputs are: </w:t>
      </w:r>
    </w:p>
    <w:p w14:paraId="66782BF4" w14:textId="0430603B" w:rsidR="00C5135C" w:rsidRDefault="00C5135C" w:rsidP="00D155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S&amp;P 500 </w:t>
      </w:r>
      <w:r w:rsidR="00984576">
        <w:rPr>
          <w:rFonts w:ascii="Times New Roman" w:hAnsi="Times New Roman" w:cs="Times New Roman"/>
        </w:rPr>
        <w:t xml:space="preserve">Index </w:t>
      </w:r>
      <w:r w:rsidR="00427134">
        <w:rPr>
          <w:rFonts w:ascii="Times New Roman" w:hAnsi="Times New Roman" w:cs="Times New Roman"/>
        </w:rPr>
        <w:t>Spot Price</w:t>
      </w:r>
    </w:p>
    <w:p w14:paraId="7926CC84" w14:textId="158ED78A" w:rsidR="00FC614E" w:rsidRPr="0078325F" w:rsidRDefault="00FC614E" w:rsidP="00D155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S&amp;P 500 Index option Strike Price</w:t>
      </w:r>
    </w:p>
    <w:p w14:paraId="340D169B" w14:textId="17558D2F" w:rsidR="00AA2DBC" w:rsidRDefault="00984576" w:rsidP="00D155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 Stock Price</w:t>
      </w:r>
    </w:p>
    <w:p w14:paraId="4815FFA4" w14:textId="7DF30AD3" w:rsidR="00870DA8" w:rsidRPr="0078325F" w:rsidRDefault="00870DA8" w:rsidP="00D155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Xerox Stock Price</w:t>
      </w:r>
    </w:p>
    <w:p w14:paraId="70B58DA0" w14:textId="76EAAF8D" w:rsidR="007B2A01" w:rsidRPr="009F02B9" w:rsidRDefault="00604DD0" w:rsidP="00D155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12-month</w:t>
      </w:r>
      <w:r w:rsidR="00083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S&amp;P 500 </w:t>
      </w:r>
      <w:r w:rsidR="000839CC">
        <w:rPr>
          <w:rFonts w:ascii="Times New Roman" w:hAnsi="Times New Roman" w:cs="Times New Roman"/>
        </w:rPr>
        <w:t xml:space="preserve">At-The-Money </w:t>
      </w:r>
      <w:r w:rsidR="00854591" w:rsidRPr="0078325F">
        <w:rPr>
          <w:rFonts w:ascii="Times New Roman" w:hAnsi="Times New Roman" w:cs="Times New Roman"/>
        </w:rPr>
        <w:t>Implied Volatility</w:t>
      </w:r>
    </w:p>
    <w:p w14:paraId="0723C7F4" w14:textId="2FC10A08" w:rsidR="00EB4E72" w:rsidRPr="0078325F" w:rsidRDefault="00A730C7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To calibrate the most fitted </w:t>
      </w:r>
      <w:r w:rsidR="00881A2D" w:rsidRPr="0078325F">
        <w:rPr>
          <w:rFonts w:ascii="Times New Roman" w:hAnsi="Times New Roman" w:cs="Times New Roman"/>
        </w:rPr>
        <w:t>parameters</w:t>
      </w:r>
      <w:r w:rsidR="00191318" w:rsidRPr="0078325F">
        <w:rPr>
          <w:rFonts w:ascii="Times New Roman" w:hAnsi="Times New Roman" w:cs="Times New Roman"/>
        </w:rPr>
        <w:t>—drift and volatility—</w:t>
      </w:r>
      <w:r w:rsidR="00881A2D" w:rsidRPr="0078325F">
        <w:rPr>
          <w:rFonts w:ascii="Times New Roman" w:hAnsi="Times New Roman" w:cs="Times New Roman"/>
        </w:rPr>
        <w:t xml:space="preserve">into the Geometric Brownian Motion process, </w:t>
      </w:r>
      <w:r w:rsidR="0072528A" w:rsidRPr="0078325F">
        <w:rPr>
          <w:rFonts w:ascii="Times New Roman" w:hAnsi="Times New Roman" w:cs="Times New Roman"/>
        </w:rPr>
        <w:t>this model first automatically calculates daily log-returns</w:t>
      </w:r>
      <w:r w:rsidR="002667BA" w:rsidRPr="0078325F">
        <w:rPr>
          <w:rFonts w:ascii="Times New Roman" w:hAnsi="Times New Roman" w:cs="Times New Roman"/>
        </w:rPr>
        <w:t xml:space="preserve"> for the index and stock prices</w:t>
      </w:r>
      <w:r w:rsidR="00DF42E1" w:rsidRPr="0078325F">
        <w:rPr>
          <w:rFonts w:ascii="Times New Roman" w:hAnsi="Times New Roman" w:cs="Times New Roman"/>
        </w:rPr>
        <w:t>, then using a</w:t>
      </w:r>
      <w:r w:rsidR="00B51E96" w:rsidRPr="0078325F">
        <w:rPr>
          <w:rFonts w:ascii="Times New Roman" w:hAnsi="Times New Roman" w:cs="Times New Roman"/>
        </w:rPr>
        <w:t xml:space="preserve"> methodology of</w:t>
      </w:r>
      <w:r w:rsidR="00DF42E1" w:rsidRPr="0078325F">
        <w:rPr>
          <w:rFonts w:ascii="Times New Roman" w:hAnsi="Times New Roman" w:cs="Times New Roman"/>
        </w:rPr>
        <w:t xml:space="preserve"> </w:t>
      </w:r>
      <w:r w:rsidR="00B51E96" w:rsidRPr="0078325F">
        <w:rPr>
          <w:rFonts w:ascii="Times New Roman" w:hAnsi="Times New Roman" w:cs="Times New Roman"/>
        </w:rPr>
        <w:t>rolling window with N size</w:t>
      </w:r>
      <w:r w:rsidR="00DF42E1" w:rsidRPr="0078325F">
        <w:rPr>
          <w:rFonts w:ascii="Times New Roman" w:hAnsi="Times New Roman" w:cs="Times New Roman"/>
        </w:rPr>
        <w:t xml:space="preserve"> to </w:t>
      </w:r>
      <w:r w:rsidR="0098310C" w:rsidRPr="0078325F">
        <w:rPr>
          <w:rFonts w:ascii="Times New Roman" w:hAnsi="Times New Roman" w:cs="Times New Roman"/>
        </w:rPr>
        <w:t xml:space="preserve">generate a rolling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</m:oMath>
      <w:r w:rsidR="003B3AE2" w:rsidRPr="0078325F">
        <w:rPr>
          <w:rFonts w:ascii="Times New Roman" w:hAnsi="Times New Roman" w:cs="Times New Roman"/>
        </w:rPr>
        <w:t xml:space="preserve"> </w:t>
      </w:r>
      <w:r w:rsidR="0098310C" w:rsidRPr="0078325F">
        <w:rPr>
          <w:rFonts w:ascii="Times New Roman" w:hAnsi="Times New Roman" w:cs="Times New Roman"/>
        </w:rPr>
        <w:t xml:space="preserve">and standard deviation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σ</m:t>
            </m:r>
          </m:e>
        </m:acc>
      </m:oMath>
      <w:r w:rsidR="003B3AE2" w:rsidRPr="0078325F">
        <w:rPr>
          <w:rFonts w:ascii="Times New Roman" w:hAnsi="Times New Roman" w:cs="Times New Roman"/>
        </w:rPr>
        <w:t xml:space="preserve"> </w:t>
      </w:r>
      <w:r w:rsidR="0098310C" w:rsidRPr="0078325F">
        <w:rPr>
          <w:rFonts w:ascii="Times New Roman" w:hAnsi="Times New Roman" w:cs="Times New Roman"/>
        </w:rPr>
        <w:t>for the log-return</w:t>
      </w:r>
      <w:r w:rsidR="00B51E96" w:rsidRPr="0078325F">
        <w:rPr>
          <w:rFonts w:ascii="Times New Roman" w:hAnsi="Times New Roman" w:cs="Times New Roman"/>
        </w:rPr>
        <w:t>s</w:t>
      </w:r>
      <w:r w:rsidR="0098310C" w:rsidRPr="0078325F">
        <w:rPr>
          <w:rFonts w:ascii="Times New Roman" w:hAnsi="Times New Roman" w:cs="Times New Roman"/>
        </w:rPr>
        <w:t xml:space="preserve">. </w:t>
      </w:r>
      <w:r w:rsidR="00554472" w:rsidRPr="0078325F">
        <w:rPr>
          <w:rFonts w:ascii="Times New Roman" w:hAnsi="Times New Roman" w:cs="Times New Roman"/>
        </w:rPr>
        <w:t>Geometric Brownian Motion process indicates that</w:t>
      </w:r>
      <w:r w:rsidR="005F0D29" w:rsidRPr="0078325F">
        <w:rPr>
          <w:rFonts w:ascii="Times New Roman" w:hAnsi="Times New Roman" w:cs="Times New Roman"/>
        </w:rPr>
        <w:t xml:space="preserve">: </w:t>
      </w:r>
    </w:p>
    <w:p w14:paraId="39C907D7" w14:textId="6C359B15" w:rsidR="005F0D29" w:rsidRPr="0078325F" w:rsidRDefault="005D2907" w:rsidP="00D15565">
      <w:pPr>
        <w:spacing w:line="276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+σ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</m:rad>
        <m:r>
          <w:rPr>
            <w:rFonts w:ascii="Cambria Math" w:hAnsi="Cambria Math" w:cs="Times New Roman"/>
          </w:rPr>
          <m:t>ε</m:t>
        </m:r>
      </m:oMath>
      <w:r w:rsidR="0042089B" w:rsidRPr="0078325F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ε~N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</w:p>
    <w:p w14:paraId="7F4F4F04" w14:textId="5E1759E3" w:rsidR="0042089B" w:rsidRPr="0078325F" w:rsidRDefault="00FB3F17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Approximately</w:t>
      </w:r>
      <w:r w:rsidR="00EC70E0" w:rsidRPr="0078325F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w:rPr>
            <w:rFonts w:ascii="Cambria Math" w:hAnsi="Cambria Math" w:cs="Times New Roman"/>
          </w:rPr>
          <m:t>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="000E1B20" w:rsidRPr="0078325F">
        <w:rPr>
          <w:rFonts w:ascii="Times New Roman" w:hAnsi="Times New Roman" w:cs="Times New Roman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σ</m:t>
            </m:r>
          </m:e>
        </m:acc>
        <m:r>
          <w:rPr>
            <w:rFonts w:ascii="Cambria Math" w:hAnsi="Cambria Math" w:cs="Times New Roman"/>
          </w:rPr>
          <m:t>≈σ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</m:rad>
      </m:oMath>
      <w:r w:rsidR="009765C9" w:rsidRPr="0078325F">
        <w:rPr>
          <w:rFonts w:ascii="Times New Roman" w:hAnsi="Times New Roman" w:cs="Times New Roman"/>
        </w:rPr>
        <w:t xml:space="preserve">. Besides, U.S. has 252 transaction days for a year, and thus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252</m:t>
            </m:r>
          </m:den>
        </m:f>
      </m:oMath>
      <w:r w:rsidR="00B93DD0" w:rsidRPr="0078325F">
        <w:rPr>
          <w:rFonts w:ascii="Times New Roman" w:hAnsi="Times New Roman" w:cs="Times New Roman"/>
        </w:rPr>
        <w:t>.</w:t>
      </w:r>
      <w:r w:rsidR="009765C9" w:rsidRPr="0078325F">
        <w:rPr>
          <w:rFonts w:ascii="Times New Roman" w:hAnsi="Times New Roman" w:cs="Times New Roman"/>
        </w:rPr>
        <w:t xml:space="preserve"> </w:t>
      </w:r>
      <w:r w:rsidR="001A41C0" w:rsidRPr="0078325F">
        <w:rPr>
          <w:rFonts w:ascii="Times New Roman" w:hAnsi="Times New Roman" w:cs="Times New Roman"/>
        </w:rPr>
        <w:t>The calibration of parameters for drift and volatility</w:t>
      </w:r>
      <w:r w:rsidR="00191318" w:rsidRPr="0078325F">
        <w:rPr>
          <w:rFonts w:ascii="Times New Roman" w:hAnsi="Times New Roman" w:cs="Times New Roman"/>
        </w:rPr>
        <w:t xml:space="preserve"> </w:t>
      </w:r>
      <w:r w:rsidR="00F50EDB" w:rsidRPr="0078325F">
        <w:rPr>
          <w:rFonts w:ascii="Times New Roman" w:hAnsi="Times New Roman" w:cs="Times New Roman"/>
        </w:rPr>
        <w:t xml:space="preserve">suggests that: </w:t>
      </w:r>
    </w:p>
    <w:p w14:paraId="61062DAC" w14:textId="78D94F34" w:rsidR="00F50EDB" w:rsidRPr="0078325F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μ≈252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σ≈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252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e>
              </m:eqArr>
            </m:e>
          </m:d>
        </m:oMath>
      </m:oMathPara>
    </w:p>
    <w:p w14:paraId="1D26A6CE" w14:textId="56C2E4DF" w:rsidR="00F405E8" w:rsidRPr="0078325F" w:rsidRDefault="00F405E8" w:rsidP="00D15565">
      <w:pPr>
        <w:spacing w:line="276" w:lineRule="auto"/>
        <w:rPr>
          <w:rFonts w:ascii="Times New Roman" w:hAnsi="Times New Roman" w:cs="Times New Roman"/>
        </w:rPr>
      </w:pPr>
    </w:p>
    <w:p w14:paraId="1C0B9A53" w14:textId="77777777" w:rsidR="005C0DE9" w:rsidRPr="0078325F" w:rsidRDefault="005C0DE9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In addition, t</w:t>
      </w:r>
      <w:r w:rsidR="00855B35" w:rsidRPr="0078325F">
        <w:rPr>
          <w:rFonts w:ascii="Times New Roman" w:hAnsi="Times New Roman" w:cs="Times New Roman"/>
        </w:rPr>
        <w:t>wo different log-return also incur correlation</w:t>
      </w:r>
      <w:r w:rsidRPr="0078325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 w:rsidR="00C34593" w:rsidRPr="0078325F">
        <w:rPr>
          <w:rFonts w:ascii="Times New Roman" w:hAnsi="Times New Roman" w:cs="Times New Roman"/>
        </w:rPr>
        <w:t>, which can be calibrated by</w:t>
      </w:r>
      <w:r w:rsidRPr="0078325F">
        <w:rPr>
          <w:rFonts w:ascii="Times New Roman" w:hAnsi="Times New Roman" w:cs="Times New Roman"/>
        </w:rPr>
        <w:t xml:space="preserve">: </w:t>
      </w:r>
    </w:p>
    <w:p w14:paraId="2E824268" w14:textId="79723C72" w:rsidR="005C0DE9" w:rsidRPr="0078325F" w:rsidRDefault="00C34593" w:rsidP="00D15565">
      <w:pPr>
        <w:spacing w:line="276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ρ≈252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ρ</m:t>
            </m:r>
          </m:e>
        </m:acc>
        <m:r>
          <w:rPr>
            <w:rFonts w:ascii="Cambria Math" w:hAnsi="Cambria Math" w:cs="Times New Roman"/>
          </w:rPr>
          <m:t>=252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Cov(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1,t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2,t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 w:rsidR="002C7C04" w:rsidRPr="0078325F">
        <w:rPr>
          <w:rFonts w:ascii="Times New Roman" w:hAnsi="Times New Roman" w:cs="Times New Roman"/>
        </w:rPr>
        <w:t xml:space="preserve">, where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ρ</m:t>
            </m:r>
          </m:e>
        </m:acc>
      </m:oMath>
      <w:r w:rsidR="002C7C04" w:rsidRPr="0078325F">
        <w:rPr>
          <w:rFonts w:ascii="Times New Roman" w:hAnsi="Times New Roman" w:cs="Times New Roman"/>
        </w:rPr>
        <w:t xml:space="preserve"> is daily correlation using a rolling window N.</w:t>
      </w:r>
    </w:p>
    <w:p w14:paraId="17C431C1" w14:textId="64805FF9" w:rsidR="006533C8" w:rsidRPr="0078325F" w:rsidRDefault="000E0015" w:rsidP="00D15565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13" w:name="_Toc26955573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t>Pricing Model Implementation</w:t>
      </w:r>
      <w:bookmarkEnd w:id="13"/>
    </w:p>
    <w:p w14:paraId="48B53729" w14:textId="127FF6EA" w:rsidR="00B17D18" w:rsidRDefault="00B17D18" w:rsidP="00B17D1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model, a 12-month </w:t>
      </w:r>
      <w:r w:rsidR="00604DD0">
        <w:rPr>
          <w:rFonts w:ascii="Times New Roman" w:hAnsi="Times New Roman" w:cs="Times New Roman"/>
        </w:rPr>
        <w:t xml:space="preserve">S&amp;P 500 </w:t>
      </w:r>
      <w:r>
        <w:rPr>
          <w:rFonts w:ascii="Times New Roman" w:hAnsi="Times New Roman" w:cs="Times New Roman"/>
        </w:rPr>
        <w:t xml:space="preserve">At-The-Money implied volatility </w:t>
      </w:r>
      <w:r w:rsidR="00604DD0">
        <w:rPr>
          <w:rFonts w:ascii="Times New Roman" w:hAnsi="Times New Roman" w:cs="Times New Roman"/>
        </w:rPr>
        <w:t>have already</w:t>
      </w:r>
      <w:r>
        <w:rPr>
          <w:rFonts w:ascii="Times New Roman" w:hAnsi="Times New Roman" w:cs="Times New Roman"/>
        </w:rPr>
        <w:t xml:space="preserve"> downloaded from the Bloomberg Terminal. </w:t>
      </w:r>
      <w:r w:rsidR="00026EB6">
        <w:rPr>
          <w:rFonts w:ascii="Times New Roman" w:hAnsi="Times New Roman" w:cs="Times New Roman"/>
        </w:rPr>
        <w:t xml:space="preserve">However, this documentation will discuss the algorithm of deriving the implied volatility. </w:t>
      </w:r>
    </w:p>
    <w:p w14:paraId="3822D82F" w14:textId="674D86BC" w:rsidR="00BD02C3" w:rsidRDefault="00924C37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I</w:t>
      </w:r>
      <w:r w:rsidR="00694811" w:rsidRPr="0078325F">
        <w:rPr>
          <w:rFonts w:ascii="Times New Roman" w:hAnsi="Times New Roman" w:cs="Times New Roman"/>
        </w:rPr>
        <w:t xml:space="preserve">mplied volatility </w:t>
      </w:r>
      <w:r w:rsidR="00FD7902" w:rsidRPr="0078325F">
        <w:rPr>
          <w:rFonts w:ascii="Times New Roman" w:hAnsi="Times New Roman" w:cs="Times New Roman"/>
        </w:rPr>
        <w:t>surface</w:t>
      </w:r>
      <w:r w:rsidR="008B7E12" w:rsidRPr="0078325F">
        <w:rPr>
          <w:rFonts w:ascii="Times New Roman" w:hAnsi="Times New Roman" w:cs="Times New Roman"/>
        </w:rPr>
        <w:t xml:space="preserve"> </w:t>
      </w:r>
      <w:r w:rsidR="00694811" w:rsidRPr="0078325F">
        <w:rPr>
          <w:rFonts w:ascii="Times New Roman" w:hAnsi="Times New Roman" w:cs="Times New Roman"/>
        </w:rPr>
        <w:t>is not observable</w:t>
      </w:r>
      <w:r w:rsidR="00244A99" w:rsidRPr="0078325F">
        <w:rPr>
          <w:rFonts w:ascii="Times New Roman" w:hAnsi="Times New Roman" w:cs="Times New Roman"/>
        </w:rPr>
        <w:t xml:space="preserve">; instead, </w:t>
      </w:r>
      <w:r w:rsidR="009033B8" w:rsidRPr="0078325F">
        <w:rPr>
          <w:rFonts w:ascii="Times New Roman" w:hAnsi="Times New Roman" w:cs="Times New Roman"/>
        </w:rPr>
        <w:t>Black-Scholes formula</w:t>
      </w:r>
      <w:r w:rsidR="00442B7E" w:rsidRPr="0078325F">
        <w:rPr>
          <w:rFonts w:ascii="Times New Roman" w:hAnsi="Times New Roman" w:cs="Times New Roman"/>
        </w:rPr>
        <w:t xml:space="preserve"> is applied</w:t>
      </w:r>
      <w:r w:rsidR="009033B8" w:rsidRPr="0078325F">
        <w:rPr>
          <w:rFonts w:ascii="Times New Roman" w:hAnsi="Times New Roman" w:cs="Times New Roman"/>
        </w:rPr>
        <w:t xml:space="preserve"> to </w:t>
      </w:r>
      <w:r w:rsidR="00D1478B" w:rsidRPr="0078325F">
        <w:rPr>
          <w:rFonts w:ascii="Times New Roman" w:hAnsi="Times New Roman" w:cs="Times New Roman"/>
        </w:rPr>
        <w:t>estimate from</w:t>
      </w:r>
      <w:r w:rsidR="003566EF" w:rsidRPr="0078325F">
        <w:rPr>
          <w:rFonts w:ascii="Times New Roman" w:hAnsi="Times New Roman" w:cs="Times New Roman"/>
        </w:rPr>
        <w:t xml:space="preserve"> spot price, strike price, </w:t>
      </w:r>
      <w:r w:rsidR="00D863EF" w:rsidRPr="0078325F">
        <w:rPr>
          <w:rFonts w:ascii="Times New Roman" w:hAnsi="Times New Roman" w:cs="Times New Roman"/>
        </w:rPr>
        <w:t xml:space="preserve">Interest rate, </w:t>
      </w:r>
      <w:r w:rsidR="00901D95" w:rsidRPr="0078325F">
        <w:rPr>
          <w:rFonts w:ascii="Times New Roman" w:hAnsi="Times New Roman" w:cs="Times New Roman"/>
        </w:rPr>
        <w:t>t</w:t>
      </w:r>
      <w:r w:rsidR="00D863EF" w:rsidRPr="0078325F">
        <w:rPr>
          <w:rFonts w:ascii="Times New Roman" w:hAnsi="Times New Roman" w:cs="Times New Roman"/>
        </w:rPr>
        <w:t xml:space="preserve">ime to </w:t>
      </w:r>
      <w:r w:rsidR="00901D95" w:rsidRPr="0078325F">
        <w:rPr>
          <w:rFonts w:ascii="Times New Roman" w:hAnsi="Times New Roman" w:cs="Times New Roman"/>
        </w:rPr>
        <w:t>m</w:t>
      </w:r>
      <w:r w:rsidR="00D863EF" w:rsidRPr="0078325F">
        <w:rPr>
          <w:rFonts w:ascii="Times New Roman" w:hAnsi="Times New Roman" w:cs="Times New Roman"/>
        </w:rPr>
        <w:t>aturity</w:t>
      </w:r>
      <w:r w:rsidR="00901D95" w:rsidRPr="0078325F">
        <w:rPr>
          <w:rFonts w:ascii="Times New Roman" w:hAnsi="Times New Roman" w:cs="Times New Roman"/>
        </w:rPr>
        <w:t xml:space="preserve">, and </w:t>
      </w:r>
      <w:r w:rsidR="00D1478B" w:rsidRPr="0078325F">
        <w:rPr>
          <w:rFonts w:ascii="Times New Roman" w:hAnsi="Times New Roman" w:cs="Times New Roman"/>
        </w:rPr>
        <w:t xml:space="preserve">Mart-To-Market price in the market. </w:t>
      </w:r>
    </w:p>
    <w:p w14:paraId="6917F12A" w14:textId="79E92278" w:rsidR="00BD0551" w:rsidRPr="0078325F" w:rsidRDefault="007E7D58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One of approaches to </w:t>
      </w:r>
      <w:r w:rsidR="00116544" w:rsidRPr="0078325F">
        <w:rPr>
          <w:rFonts w:ascii="Times New Roman" w:hAnsi="Times New Roman" w:cs="Times New Roman"/>
        </w:rPr>
        <w:t xml:space="preserve">search implied volatility is Newton’s method. </w:t>
      </w:r>
      <w:r w:rsidR="009100FC" w:rsidRPr="0078325F">
        <w:rPr>
          <w:rFonts w:ascii="Times New Roman" w:hAnsi="Times New Roman" w:cs="Times New Roman"/>
        </w:rPr>
        <w:t xml:space="preserve">Newton’s model assumes that </w:t>
      </w:r>
      <w:r w:rsidR="00FB50E4" w:rsidRPr="0078325F">
        <w:rPr>
          <w:rFonts w:ascii="Times New Roman" w:hAnsi="Times New Roman" w:cs="Times New Roman"/>
        </w:rPr>
        <w:t>there is a function that is continuous and differentiable</w:t>
      </w:r>
      <w:r w:rsidR="008B2070" w:rsidRPr="0078325F">
        <w:rPr>
          <w:rFonts w:ascii="Times New Roman" w:hAnsi="Times New Roman" w:cs="Times New Roman"/>
        </w:rPr>
        <w:t xml:space="preserve"> </w:t>
      </w:r>
      <w:r w:rsidR="009951CF" w:rsidRPr="0078325F">
        <w:rPr>
          <w:rFonts w:ascii="Times New Roman" w:hAnsi="Times New Roman" w:cs="Times New Roman"/>
        </w:rPr>
        <w:t>with</w:t>
      </w:r>
      <w:r w:rsidR="008B2070" w:rsidRPr="0078325F">
        <w:rPr>
          <w:rFonts w:ascii="Times New Roman" w:hAnsi="Times New Roman" w:cs="Times New Roman"/>
        </w:rPr>
        <w:t>in an interval</w:t>
      </w:r>
      <w:r w:rsidR="00941C46" w:rsidRPr="0078325F">
        <w:rPr>
          <w:rFonts w:ascii="Times New Roman" w:hAnsi="Times New Roman" w:cs="Times New Roman"/>
        </w:rPr>
        <w:t>.</w:t>
      </w:r>
      <w:r w:rsidR="0078296D" w:rsidRPr="0078325F">
        <w:rPr>
          <w:rFonts w:ascii="Times New Roman" w:hAnsi="Times New Roman" w:cs="Times New Roman"/>
        </w:rPr>
        <w:t xml:space="preserve"> </w:t>
      </w:r>
      <w:r w:rsidR="00BD0551" w:rsidRPr="0078325F">
        <w:rPr>
          <w:rFonts w:ascii="Times New Roman" w:hAnsi="Times New Roman" w:cs="Times New Roman"/>
        </w:rPr>
        <w:t xml:space="preserve">Newton’s method suggests that </w:t>
      </w:r>
      <w:r w:rsidR="00CB7989" w:rsidRPr="0078325F">
        <w:rPr>
          <w:rFonts w:ascii="Times New Roman" w:hAnsi="Times New Roman" w:cs="Times New Roman"/>
        </w:rPr>
        <w:t xml:space="preserve">such computation could be conducted to find a root </w:t>
      </w:r>
      <w:r w:rsidR="00587128" w:rsidRPr="0078325F">
        <w:rPr>
          <w:rFonts w:ascii="Times New Roman" w:hAnsi="Times New Roman" w:cs="Times New Roman"/>
        </w:rPr>
        <w:t>that usually converges</w:t>
      </w:r>
      <w:r w:rsidR="00DA5089" w:rsidRPr="0078325F">
        <w:rPr>
          <w:rFonts w:ascii="Times New Roman" w:hAnsi="Times New Roman" w:cs="Times New Roman"/>
        </w:rPr>
        <w:t xml:space="preserve">: </w:t>
      </w:r>
    </w:p>
    <w:p w14:paraId="0E64E57C" w14:textId="0C76C195" w:rsidR="00DA5089" w:rsidRPr="0078325F" w:rsidRDefault="00CF7694" w:rsidP="00D1556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Using Taylor expansion, a linear approximation should be established: </w:t>
      </w:r>
    </w:p>
    <w:p w14:paraId="42ED2B20" w14:textId="2FAE5FA7" w:rsidR="00CF7694" w:rsidRPr="0078325F" w:rsidRDefault="00CF7694" w:rsidP="00D15565">
      <w:pPr>
        <w:pStyle w:val="ListParagraph"/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≈f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)(x-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2BA62B8" w14:textId="77777777" w:rsidR="00FF5E3D" w:rsidRPr="0078325F" w:rsidRDefault="0042547B" w:rsidP="00D1556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Assume that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 w:rsidRPr="0078325F">
        <w:rPr>
          <w:rFonts w:ascii="Times New Roman" w:hAnsi="Times New Roman" w:cs="Times New Roman"/>
        </w:rPr>
        <w:t xml:space="preserve">, and apply linear approximation to </w:t>
      </w:r>
      <w:r w:rsidR="00251EA5" w:rsidRPr="0078325F">
        <w:rPr>
          <w:rFonts w:ascii="Times New Roman" w:hAnsi="Times New Roman" w:cs="Times New Roman"/>
        </w:rPr>
        <w:t>solve</w:t>
      </w:r>
      <w:r w:rsidR="00FF5E3D" w:rsidRPr="0078325F">
        <w:rPr>
          <w:rFonts w:ascii="Times New Roman" w:hAnsi="Times New Roman" w:cs="Times New Roman"/>
        </w:rPr>
        <w:t xml:space="preserve"> for x:</w:t>
      </w:r>
    </w:p>
    <w:p w14:paraId="45989E4B" w14:textId="6C82C39C" w:rsidR="0042547B" w:rsidRPr="0078325F" w:rsidRDefault="009C24D1" w:rsidP="00D15565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6F972E6E" w14:textId="4FEA4D7D" w:rsidR="009C24D1" w:rsidRPr="0078325F" w:rsidRDefault="0002110F" w:rsidP="00D1556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Reiterate this process for n times</w:t>
      </w:r>
      <w:r w:rsidR="00063333" w:rsidRPr="0078325F">
        <w:rPr>
          <w:rFonts w:ascii="Times New Roman" w:hAnsi="Times New Roman" w:cs="Times New Roman"/>
        </w:rPr>
        <w:t>, until relative error is smaller than tolerate (this model sets default tolera</w:t>
      </w:r>
      <w:r w:rsidR="00181D73" w:rsidRPr="0078325F">
        <w:rPr>
          <w:rFonts w:ascii="Times New Roman" w:hAnsi="Times New Roman" w:cs="Times New Roman"/>
        </w:rPr>
        <w:t>nce</w:t>
      </w:r>
      <w:r w:rsidR="00063333" w:rsidRPr="0078325F">
        <w:rPr>
          <w:rFonts w:ascii="Times New Roman" w:hAnsi="Times New Roman" w:cs="Times New Roman"/>
        </w:rPr>
        <w:t xml:space="preserve"> as 1e-</w:t>
      </w:r>
      <w:r w:rsidR="00181D73" w:rsidRPr="0078325F">
        <w:rPr>
          <w:rFonts w:ascii="Times New Roman" w:hAnsi="Times New Roman" w:cs="Times New Roman"/>
        </w:rPr>
        <w:t>4</w:t>
      </w:r>
      <w:r w:rsidR="00063333" w:rsidRPr="0078325F">
        <w:rPr>
          <w:rFonts w:ascii="Times New Roman" w:hAnsi="Times New Roman" w:cs="Times New Roman"/>
        </w:rPr>
        <w:t>)</w:t>
      </w:r>
      <w:r w:rsidRPr="0078325F">
        <w:rPr>
          <w:rFonts w:ascii="Times New Roman" w:hAnsi="Times New Roman" w:cs="Times New Roman"/>
        </w:rPr>
        <w:t xml:space="preserve">: </w:t>
      </w:r>
    </w:p>
    <w:p w14:paraId="216CADF3" w14:textId="0B99548E" w:rsidR="001E218A" w:rsidRPr="0078325F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FDC46BB" w14:textId="77777777" w:rsidR="001A04FC" w:rsidRPr="0078325F" w:rsidRDefault="001A04FC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As such, a function was established to solve for the root: </w:t>
      </w:r>
    </w:p>
    <w:p w14:paraId="1A90F8C9" w14:textId="79087C8F" w:rsidR="001A04FC" w:rsidRPr="0078325F" w:rsidRDefault="001A04FC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=BS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  <m:r>
                <w:rPr>
                  <w:rFonts w:ascii="Cambria Math" w:hAnsi="Cambria Math" w:cs="Times New Roman"/>
                </w:rPr>
                <m:t>;S,K,r,T</m:t>
              </m:r>
            </m:e>
          </m:d>
          <m:r>
            <w:rPr>
              <w:rFonts w:ascii="Cambria Math" w:hAnsi="Cambria Math" w:cs="Times New Roman"/>
            </w:rPr>
            <m:t>-MTM</m:t>
          </m:r>
        </m:oMath>
      </m:oMathPara>
    </w:p>
    <w:p w14:paraId="441F4033" w14:textId="298355B7" w:rsidR="007D153B" w:rsidRPr="0078325F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03F68F6" w14:textId="560B0CCC" w:rsidR="00D42E4B" w:rsidRDefault="00BA0A3B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78325F">
        <w:rPr>
          <w:rFonts w:ascii="Times New Roman" w:hAnsi="Times New Roman" w:cs="Times New Roman"/>
        </w:rPr>
        <w:t xml:space="preserve"> is Vega of the option</w:t>
      </w:r>
      <w:r w:rsidR="00353E76" w:rsidRPr="0078325F">
        <w:rPr>
          <w:rFonts w:ascii="Times New Roman" w:hAnsi="Times New Roman" w:cs="Times New Roman"/>
        </w:rPr>
        <w:t xml:space="preserve"> when sigma is computed n times.</w:t>
      </w:r>
      <w:r w:rsidR="00853AE5" w:rsidRPr="0078325F">
        <w:rPr>
          <w:rFonts w:ascii="Times New Roman" w:hAnsi="Times New Roman" w:cs="Times New Roman"/>
        </w:rPr>
        <w:t xml:space="preserve"> </w:t>
      </w:r>
      <w:r w:rsidR="00C66CF3">
        <w:rPr>
          <w:rFonts w:ascii="Times New Roman" w:hAnsi="Times New Roman" w:cs="Times New Roman"/>
        </w:rPr>
        <w:t xml:space="preserve">In this model, it already presumed that the implied volatility is flat, that is irresponsive to the change in time-to-maturity and strike price. </w:t>
      </w:r>
    </w:p>
    <w:p w14:paraId="647D9B65" w14:textId="22173664" w:rsidR="00992A06" w:rsidRPr="0078325F" w:rsidRDefault="00992A06" w:rsidP="00D15565">
      <w:pPr>
        <w:pStyle w:val="Heading1"/>
        <w:spacing w:line="276" w:lineRule="auto"/>
        <w:rPr>
          <w:rStyle w:val="Strong"/>
          <w:rFonts w:ascii="Times New Roman" w:hAnsi="Times New Roman" w:cs="Times New Roman"/>
          <w:color w:val="auto"/>
          <w:sz w:val="22"/>
          <w:szCs w:val="22"/>
        </w:rPr>
      </w:pPr>
      <w:bookmarkStart w:id="14" w:name="_Toc26955574"/>
      <w:r w:rsidRPr="0078325F">
        <w:rPr>
          <w:rStyle w:val="Strong"/>
          <w:rFonts w:ascii="Times New Roman" w:hAnsi="Times New Roman" w:cs="Times New Roman"/>
          <w:color w:val="auto"/>
          <w:sz w:val="22"/>
          <w:szCs w:val="22"/>
        </w:rPr>
        <w:t>Risk Measurement Model Description</w:t>
      </w:r>
      <w:bookmarkEnd w:id="14"/>
    </w:p>
    <w:p w14:paraId="1BC19F8F" w14:textId="243499C5" w:rsidR="00604DD0" w:rsidRDefault="00604DD0" w:rsidP="00D155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major part of this model is risk measurement. </w:t>
      </w:r>
      <w:r w:rsidR="00EE0806">
        <w:rPr>
          <w:rFonts w:ascii="Times New Roman" w:hAnsi="Times New Roman" w:cs="Times New Roman"/>
        </w:rPr>
        <w:t xml:space="preserve">Market now utilizes the Value-at-Risk and Expected Shortfall to illustrate the </w:t>
      </w:r>
      <w:r w:rsidR="00D265EA">
        <w:rPr>
          <w:rFonts w:ascii="Times New Roman" w:hAnsi="Times New Roman" w:cs="Times New Roman"/>
        </w:rPr>
        <w:t xml:space="preserve">severity of the risk. </w:t>
      </w:r>
    </w:p>
    <w:p w14:paraId="2252025B" w14:textId="13B5805A" w:rsidR="007D0426" w:rsidRPr="0078325F" w:rsidRDefault="00863F93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Value-at-Risk (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Pr="0078325F">
        <w:rPr>
          <w:rFonts w:ascii="Times New Roman" w:hAnsi="Times New Roman" w:cs="Times New Roman"/>
        </w:rPr>
        <w:t xml:space="preserve">) is a </w:t>
      </w:r>
      <w:r w:rsidR="00683B76" w:rsidRPr="0078325F">
        <w:rPr>
          <w:rFonts w:ascii="Times New Roman" w:hAnsi="Times New Roman" w:cs="Times New Roman"/>
        </w:rPr>
        <w:t xml:space="preserve">numerical </w:t>
      </w:r>
      <w:r w:rsidR="00504BEF" w:rsidRPr="0078325F">
        <w:rPr>
          <w:rFonts w:ascii="Times New Roman" w:hAnsi="Times New Roman" w:cs="Times New Roman"/>
        </w:rPr>
        <w:t>result</w:t>
      </w:r>
      <w:r w:rsidR="0062424E" w:rsidRPr="0078325F">
        <w:rPr>
          <w:rFonts w:ascii="Times New Roman" w:hAnsi="Times New Roman" w:cs="Times New Roman"/>
        </w:rPr>
        <w:t>—</w:t>
      </w:r>
      <w:r w:rsidR="003E239B" w:rsidRPr="0078325F">
        <w:rPr>
          <w:rFonts w:ascii="Times New Roman" w:hAnsi="Times New Roman" w:cs="Times New Roman"/>
        </w:rPr>
        <w:t>over</w:t>
      </w:r>
      <w:r w:rsidR="00683B76" w:rsidRPr="0078325F">
        <w:rPr>
          <w:rFonts w:ascii="Times New Roman" w:hAnsi="Times New Roman" w:cs="Times New Roman"/>
        </w:rPr>
        <w:t xml:space="preserve"> which there is a certain percentage </w:t>
      </w:r>
      <w:r w:rsidR="00504BEF" w:rsidRPr="0078325F">
        <w:rPr>
          <w:rFonts w:ascii="Times New Roman" w:hAnsi="Times New Roman" w:cs="Times New Roman"/>
        </w:rPr>
        <w:t xml:space="preserve">of probability that the losses could exceed. </w:t>
      </w:r>
      <w:r w:rsidR="003B05C7" w:rsidRPr="0078325F">
        <w:rPr>
          <w:rFonts w:ascii="Times New Roman" w:hAnsi="Times New Roman" w:cs="Times New Roman"/>
        </w:rPr>
        <w:t>Given the distribution of Profit and Loss (P&amp;L)</w:t>
      </w:r>
      <w:r w:rsidR="00050AB6" w:rsidRPr="0078325F">
        <w:rPr>
          <w:rFonts w:ascii="Times New Roman" w:hAnsi="Times New Roman" w:cs="Times New Roman"/>
        </w:rPr>
        <w:t xml:space="preserve"> </w:t>
      </w:r>
      <w:r w:rsidR="00433341" w:rsidRPr="0078325F">
        <w:rPr>
          <w:rFonts w:ascii="Times New Roman" w:hAnsi="Times New Roman" w:cs="Times New Roman"/>
        </w:rPr>
        <w:t xml:space="preserve">and a percentage </w:t>
      </w:r>
      <w:r w:rsidR="00433341" w:rsidRPr="0078325F">
        <w:rPr>
          <w:rFonts w:ascii="Times New Roman" w:hAnsi="Times New Roman" w:cs="Times New Roman"/>
          <w:i/>
          <w:iCs/>
        </w:rPr>
        <w:t>p</w:t>
      </w:r>
      <w:r w:rsidR="003B05C7" w:rsidRPr="0078325F">
        <w:rPr>
          <w:rFonts w:ascii="Times New Roman" w:hAnsi="Times New Roman" w:cs="Times New Roman"/>
        </w:rPr>
        <w:t xml:space="preserve">, </w:t>
      </w:r>
      <w:proofErr w:type="spellStart"/>
      <w:r w:rsidR="00A10C50" w:rsidRPr="0078325F">
        <w:rPr>
          <w:rFonts w:ascii="Times New Roman" w:hAnsi="Times New Roman" w:cs="Times New Roman"/>
        </w:rPr>
        <w:t>VaR</w:t>
      </w:r>
      <w:proofErr w:type="spellEnd"/>
      <w:r w:rsidR="00A10C50" w:rsidRPr="0078325F">
        <w:rPr>
          <w:rFonts w:ascii="Times New Roman" w:hAnsi="Times New Roman" w:cs="Times New Roman"/>
        </w:rPr>
        <w:t xml:space="preserve"> can be defined by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&gt;VaR</m:t>
            </m:r>
          </m:e>
        </m:d>
        <m:r>
          <w:rPr>
            <w:rFonts w:ascii="Cambria Math" w:hAnsi="Cambria Math" w:cs="Times New Roman"/>
          </w:rPr>
          <m:t>=1-p</m:t>
        </m:r>
      </m:oMath>
      <w:r w:rsidR="007D0426" w:rsidRPr="0078325F">
        <w:rPr>
          <w:rFonts w:ascii="Times New Roman" w:hAnsi="Times New Roman" w:cs="Times New Roman"/>
        </w:rPr>
        <w:t xml:space="preserve">. Thus, </w:t>
      </w:r>
      <m:oMath>
        <m:r>
          <w:rPr>
            <w:rFonts w:ascii="Cambria Math" w:hAnsi="Cambria Math" w:cs="Times New Roman"/>
          </w:rPr>
          <m:t>VaR=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(p)</m:t>
        </m:r>
      </m:oMath>
      <w:r w:rsidR="00DA2AF8" w:rsidRPr="0078325F">
        <w:rPr>
          <w:rFonts w:ascii="Times New Roman" w:hAnsi="Times New Roman" w:cs="Times New Roman"/>
        </w:rPr>
        <w:t xml:space="preserve">, where </w:t>
      </w:r>
      <w:r w:rsidR="00DA2AF8" w:rsidRPr="0078325F">
        <w:rPr>
          <w:rFonts w:ascii="Times New Roman" w:hAnsi="Times New Roman" w:cs="Times New Roman"/>
          <w:i/>
          <w:iCs/>
        </w:rPr>
        <w:t>F</w:t>
      </w:r>
      <w:r w:rsidR="00DA2AF8" w:rsidRPr="0078325F">
        <w:rPr>
          <w:rFonts w:ascii="Times New Roman" w:hAnsi="Times New Roman" w:cs="Times New Roman"/>
        </w:rPr>
        <w:t xml:space="preserve"> is the </w:t>
      </w:r>
      <w:r w:rsidR="00DA7F80" w:rsidRPr="0078325F">
        <w:rPr>
          <w:rFonts w:ascii="Times New Roman" w:hAnsi="Times New Roman" w:cs="Times New Roman"/>
        </w:rPr>
        <w:t xml:space="preserve">P&amp;L Cumulative Density Function. </w:t>
      </w:r>
    </w:p>
    <w:p w14:paraId="6548D45D" w14:textId="390C2861" w:rsidR="006E4244" w:rsidRPr="0078325F" w:rsidRDefault="00DF4C0F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Expected Shortfall (ES), on the other hand, </w:t>
      </w:r>
      <w:r w:rsidR="00DB42F0" w:rsidRPr="0078325F">
        <w:rPr>
          <w:rFonts w:ascii="Times New Roman" w:hAnsi="Times New Roman" w:cs="Times New Roman"/>
        </w:rPr>
        <w:t xml:space="preserve">defines </w:t>
      </w:r>
      <w:r w:rsidR="006E4244" w:rsidRPr="0078325F">
        <w:rPr>
          <w:rFonts w:ascii="Times New Roman" w:hAnsi="Times New Roman" w:cs="Times New Roman"/>
        </w:rPr>
        <w:t>the average of the losses</w:t>
      </w:r>
      <w:r w:rsidR="00DB42F0" w:rsidRPr="0078325F">
        <w:rPr>
          <w:rFonts w:ascii="Times New Roman" w:hAnsi="Times New Roman" w:cs="Times New Roman"/>
        </w:rPr>
        <w:t xml:space="preserve"> </w:t>
      </w:r>
      <w:r w:rsidR="009F6BB9" w:rsidRPr="0078325F">
        <w:rPr>
          <w:rFonts w:ascii="Times New Roman" w:hAnsi="Times New Roman" w:cs="Times New Roman"/>
        </w:rPr>
        <w:t xml:space="preserve">conditional on losses </w:t>
      </w:r>
      <w:r w:rsidR="002644F6" w:rsidRPr="0078325F">
        <w:rPr>
          <w:rFonts w:ascii="Times New Roman" w:hAnsi="Times New Roman" w:cs="Times New Roman"/>
        </w:rPr>
        <w:t xml:space="preserve">that </w:t>
      </w:r>
      <w:r w:rsidR="006E4244" w:rsidRPr="0078325F">
        <w:rPr>
          <w:rFonts w:ascii="Times New Roman" w:hAnsi="Times New Roman" w:cs="Times New Roman"/>
        </w:rPr>
        <w:t>are</w:t>
      </w:r>
      <w:r w:rsidR="002644F6" w:rsidRPr="0078325F">
        <w:rPr>
          <w:rFonts w:ascii="Times New Roman" w:hAnsi="Times New Roman" w:cs="Times New Roman"/>
        </w:rPr>
        <w:t xml:space="preserve"> greater than </w:t>
      </w:r>
      <w:proofErr w:type="spellStart"/>
      <w:r w:rsidR="002644F6" w:rsidRPr="0078325F">
        <w:rPr>
          <w:rFonts w:ascii="Times New Roman" w:hAnsi="Times New Roman" w:cs="Times New Roman"/>
        </w:rPr>
        <w:t>VaR</w:t>
      </w:r>
      <w:proofErr w:type="spellEnd"/>
      <w:r w:rsidR="002A5444" w:rsidRPr="0078325F">
        <w:rPr>
          <w:rFonts w:ascii="Times New Roman" w:hAnsi="Times New Roman" w:cs="Times New Roman"/>
        </w:rPr>
        <w:t xml:space="preserve">; that is, </w:t>
      </w:r>
      <m:oMath>
        <m:r>
          <w:rPr>
            <w:rFonts w:ascii="Cambria Math" w:hAnsi="Cambria Math" w:cs="Times New Roman"/>
          </w:rPr>
          <m:t>ES=E[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&gt;VaR]</m:t>
        </m:r>
      </m:oMath>
      <w:r w:rsidR="009F6BB9" w:rsidRPr="0078325F">
        <w:rPr>
          <w:rFonts w:ascii="Times New Roman" w:hAnsi="Times New Roman" w:cs="Times New Roman"/>
        </w:rPr>
        <w:t xml:space="preserve">. </w:t>
      </w:r>
    </w:p>
    <w:p w14:paraId="3ACFBC03" w14:textId="7DD5F9AD" w:rsidR="00DF4C0F" w:rsidRPr="0078325F" w:rsidRDefault="00FA2E34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ES </w:t>
      </w:r>
      <w:r w:rsidR="001E1D70" w:rsidRPr="0078325F">
        <w:rPr>
          <w:rFonts w:ascii="Times New Roman" w:hAnsi="Times New Roman" w:cs="Times New Roman"/>
        </w:rPr>
        <w:t xml:space="preserve">calculation is </w:t>
      </w:r>
      <w:r w:rsidRPr="0078325F">
        <w:rPr>
          <w:rFonts w:ascii="Times New Roman" w:hAnsi="Times New Roman" w:cs="Times New Roman"/>
        </w:rPr>
        <w:t xml:space="preserve">more </w:t>
      </w:r>
      <w:r w:rsidR="001E1D70" w:rsidRPr="0078325F">
        <w:rPr>
          <w:rFonts w:ascii="Times New Roman" w:hAnsi="Times New Roman" w:cs="Times New Roman"/>
        </w:rPr>
        <w:t xml:space="preserve">coherent </w:t>
      </w:r>
      <w:r w:rsidRPr="0078325F">
        <w:rPr>
          <w:rFonts w:ascii="Times New Roman" w:hAnsi="Times New Roman" w:cs="Times New Roman"/>
        </w:rPr>
        <w:t xml:space="preserve">than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Pr="0078325F">
        <w:rPr>
          <w:rFonts w:ascii="Times New Roman" w:hAnsi="Times New Roman" w:cs="Times New Roman"/>
        </w:rPr>
        <w:t xml:space="preserve"> </w:t>
      </w:r>
      <w:r w:rsidR="007A3934" w:rsidRPr="0078325F">
        <w:rPr>
          <w:rFonts w:ascii="Times New Roman" w:hAnsi="Times New Roman" w:cs="Times New Roman"/>
        </w:rPr>
        <w:t>since</w:t>
      </w:r>
      <w:r w:rsidRPr="0078325F">
        <w:rPr>
          <w:rFonts w:ascii="Times New Roman" w:hAnsi="Times New Roman" w:cs="Times New Roman"/>
        </w:rPr>
        <w:t xml:space="preserve"> </w:t>
      </w:r>
      <w:r w:rsidR="00D471E4" w:rsidRPr="0078325F">
        <w:rPr>
          <w:rFonts w:ascii="Times New Roman" w:hAnsi="Times New Roman" w:cs="Times New Roman"/>
        </w:rPr>
        <w:t>it meets</w:t>
      </w:r>
      <w:r w:rsidR="007A3934" w:rsidRPr="0078325F">
        <w:rPr>
          <w:rFonts w:ascii="Times New Roman" w:hAnsi="Times New Roman" w:cs="Times New Roman"/>
        </w:rPr>
        <w:t xml:space="preserve"> all of</w:t>
      </w:r>
      <w:r w:rsidR="00D471E4" w:rsidRPr="0078325F">
        <w:rPr>
          <w:rFonts w:ascii="Times New Roman" w:hAnsi="Times New Roman" w:cs="Times New Roman"/>
        </w:rPr>
        <w:t xml:space="preserve"> four following requirements:</w:t>
      </w:r>
    </w:p>
    <w:p w14:paraId="2E90B2C4" w14:textId="77777777" w:rsidR="0078325F" w:rsidRPr="00192C7C" w:rsidRDefault="0078325F" w:rsidP="00192C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2C7C">
        <w:rPr>
          <w:rFonts w:ascii="Times New Roman" w:hAnsi="Times New Roman" w:cs="Times New Roman"/>
        </w:rPr>
        <w:t>Monotonicity: if a portfolio produces a worse result than another portfolio for every state of the world, its risk measure should be greater.</w:t>
      </w:r>
    </w:p>
    <w:p w14:paraId="0026CC7E" w14:textId="77777777" w:rsidR="0078325F" w:rsidRPr="00192C7C" w:rsidRDefault="0078325F" w:rsidP="00192C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2C7C">
        <w:rPr>
          <w:rFonts w:ascii="Times New Roman" w:hAnsi="Times New Roman" w:cs="Times New Roman"/>
        </w:rPr>
        <w:t>Translation Invariance: if an amount of cash K is added to a portfolio, its risk measure should go down by K.</w:t>
      </w:r>
    </w:p>
    <w:p w14:paraId="6B7FB598" w14:textId="77777777" w:rsidR="0078325F" w:rsidRPr="00192C7C" w:rsidRDefault="0078325F" w:rsidP="00192C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2C7C">
        <w:rPr>
          <w:rFonts w:ascii="Times New Roman" w:hAnsi="Times New Roman" w:cs="Times New Roman"/>
        </w:rPr>
        <w:t xml:space="preserve">Homogeneity: changing the size of a portfolio by a factor lambda, while keeping the relative amounts of different items in the portfolio items in the portfolio the same, should result in the risk measure being multiplied by lambda. </w:t>
      </w:r>
    </w:p>
    <w:p w14:paraId="1D666E6D" w14:textId="77777777" w:rsidR="0078325F" w:rsidRPr="00192C7C" w:rsidRDefault="0078325F" w:rsidP="00192C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92C7C">
        <w:rPr>
          <w:rFonts w:ascii="Times New Roman" w:hAnsi="Times New Roman" w:cs="Times New Roman"/>
        </w:rPr>
        <w:t xml:space="preserve">Subadditivity: The risk measure for two portfolios after they have been merged should be no greater than the sum of their risk measures before they were merged. </w:t>
      </w:r>
    </w:p>
    <w:p w14:paraId="56FF13C8" w14:textId="4974ED97" w:rsidR="00A8185B" w:rsidRPr="0078325F" w:rsidRDefault="00A8185B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However, ES is not elicitable so that ba</w:t>
      </w:r>
      <w:r w:rsidR="00BB6A48" w:rsidRPr="0078325F">
        <w:rPr>
          <w:rFonts w:ascii="Times New Roman" w:hAnsi="Times New Roman" w:cs="Times New Roman"/>
        </w:rPr>
        <w:t>ck-testing may have some difficulties.</w:t>
      </w:r>
    </w:p>
    <w:p w14:paraId="61B2A297" w14:textId="185B5648" w:rsidR="00425BB2" w:rsidRPr="00425BB2" w:rsidRDefault="007D669D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This model assumes the initial position is $10,000</w:t>
      </w:r>
      <w:r w:rsidR="001A4DBA">
        <w:rPr>
          <w:rFonts w:ascii="Times New Roman" w:hAnsi="Times New Roman" w:cs="Times New Roman"/>
        </w:rPr>
        <w:t>, and that a user exhausts</w:t>
      </w:r>
      <w:r w:rsidR="001E47C1">
        <w:rPr>
          <w:rFonts w:ascii="Times New Roman" w:hAnsi="Times New Roman" w:cs="Times New Roman"/>
        </w:rPr>
        <w:t xml:space="preserve"> the initial position</w:t>
      </w:r>
      <w:r w:rsidRPr="0078325F">
        <w:rPr>
          <w:rFonts w:ascii="Times New Roman" w:hAnsi="Times New Roman" w:cs="Times New Roman"/>
        </w:rPr>
        <w:t>.</w:t>
      </w:r>
      <w:r w:rsidR="00863F93" w:rsidRPr="0078325F">
        <w:rPr>
          <w:rFonts w:ascii="Times New Roman" w:hAnsi="Times New Roman" w:cs="Times New Roman"/>
        </w:rPr>
        <w:t xml:space="preserve"> </w:t>
      </w:r>
      <w:r w:rsidR="00541C81">
        <w:rPr>
          <w:rFonts w:ascii="Times New Roman" w:hAnsi="Times New Roman" w:cs="Times New Roman"/>
        </w:rPr>
        <w:t>For the whole portfolio, the value</w:t>
      </w:r>
      <w:r w:rsidR="005C3AAE">
        <w:rPr>
          <w:rFonts w:ascii="Times New Roman" w:hAnsi="Times New Roman" w:cs="Times New Roman"/>
        </w:rPr>
        <w:t xml:space="preserve"> at time T</w:t>
      </w:r>
      <w:r w:rsidR="00541C81">
        <w:rPr>
          <w:rFonts w:ascii="Times New Roman" w:hAnsi="Times New Roman" w:cs="Times New Roman"/>
        </w:rPr>
        <w:t xml:space="preserve"> is no more than the sum of the investment in the stock and the option</w:t>
      </w:r>
      <w:r w:rsidR="005C3AAE">
        <w:rPr>
          <w:rFonts w:ascii="Times New Roman" w:hAnsi="Times New Roman" w:cs="Times New Roman"/>
        </w:rPr>
        <w:t xml:space="preserve">: </w:t>
      </w:r>
    </w:p>
    <w:p w14:paraId="78E8DC01" w14:textId="7CCC3956" w:rsidR="00EE3182" w:rsidRPr="00321F70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=Ford Stock Shares*Ford Stock Price+Xerox Stock Shares*Xerox Stock Price+Option Shares* Option Price</m:t>
          </m:r>
        </m:oMath>
      </m:oMathPara>
    </w:p>
    <w:p w14:paraId="177C22C7" w14:textId="31DF4293" w:rsidR="00481887" w:rsidRPr="00481887" w:rsidRDefault="00481887" w:rsidP="00481887">
      <w:pPr>
        <w:pStyle w:val="NoSpacing"/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This risk measurement model calculates Monte-Carlo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="002B377A">
        <w:rPr>
          <w:rFonts w:ascii="Times New Roman" w:hAnsi="Times New Roman" w:cs="Times New Roman"/>
        </w:rPr>
        <w:t xml:space="preserve"> and ES</w:t>
      </w:r>
      <w:r w:rsidRPr="0078325F">
        <w:rPr>
          <w:rFonts w:ascii="Times New Roman" w:hAnsi="Times New Roman" w:cs="Times New Roman"/>
        </w:rPr>
        <w:t xml:space="preserve">, historical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="002B377A">
        <w:rPr>
          <w:rFonts w:ascii="Times New Roman" w:hAnsi="Times New Roman" w:cs="Times New Roman"/>
        </w:rPr>
        <w:t xml:space="preserve"> and ES</w:t>
      </w:r>
      <w:r w:rsidRPr="0078325F">
        <w:rPr>
          <w:rFonts w:ascii="Times New Roman" w:hAnsi="Times New Roman" w:cs="Times New Roman"/>
        </w:rPr>
        <w:t xml:space="preserve">, </w:t>
      </w:r>
      <w:r w:rsidR="002B377A">
        <w:rPr>
          <w:rFonts w:ascii="Times New Roman" w:hAnsi="Times New Roman" w:cs="Times New Roman"/>
        </w:rPr>
        <w:t xml:space="preserve">and </w:t>
      </w:r>
      <w:r w:rsidRPr="0078325F">
        <w:rPr>
          <w:rFonts w:ascii="Times New Roman" w:hAnsi="Times New Roman" w:cs="Times New Roman"/>
        </w:rPr>
        <w:t xml:space="preserve">Parametric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and ES</w:t>
      </w:r>
      <w:r w:rsidR="002B377A">
        <w:rPr>
          <w:rFonts w:ascii="Times New Roman" w:hAnsi="Times New Roman" w:cs="Times New Roman"/>
        </w:rPr>
        <w:t xml:space="preserve"> respectively</w:t>
      </w:r>
      <w:r w:rsidRPr="0078325F">
        <w:rPr>
          <w:rFonts w:ascii="Times New Roman" w:hAnsi="Times New Roman" w:cs="Times New Roman"/>
        </w:rPr>
        <w:t>.</w:t>
      </w:r>
    </w:p>
    <w:p w14:paraId="2959ADEC" w14:textId="23E2A407" w:rsidR="009A0C4B" w:rsidRPr="0078325F" w:rsidRDefault="009A0C4B" w:rsidP="00D15565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" w:name="_Toc26955575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Historical </w:t>
      </w:r>
      <w:proofErr w:type="spellStart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>VaR</w:t>
      </w:r>
      <w:proofErr w:type="spellEnd"/>
      <w:r w:rsidR="00F9483C"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and Historical ES</w:t>
      </w:r>
      <w:bookmarkEnd w:id="15"/>
    </w:p>
    <w:p w14:paraId="1EFA5EF9" w14:textId="572EA700" w:rsidR="00F6708A" w:rsidRPr="0078325F" w:rsidRDefault="00F6708A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Historical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Pr="0078325F">
        <w:rPr>
          <w:rFonts w:ascii="Times New Roman" w:hAnsi="Times New Roman" w:cs="Times New Roman"/>
        </w:rPr>
        <w:t xml:space="preserve"> </w:t>
      </w:r>
      <w:r w:rsidR="005E2CDE" w:rsidRPr="0078325F">
        <w:rPr>
          <w:rFonts w:ascii="Times New Roman" w:hAnsi="Times New Roman" w:cs="Times New Roman"/>
        </w:rPr>
        <w:t xml:space="preserve">simply </w:t>
      </w:r>
      <w:r w:rsidR="00D75429" w:rsidRPr="0078325F">
        <w:rPr>
          <w:rFonts w:ascii="Times New Roman" w:hAnsi="Times New Roman" w:cs="Times New Roman"/>
        </w:rPr>
        <w:t xml:space="preserve">leverages </w:t>
      </w:r>
      <w:r w:rsidR="00743FD3" w:rsidRPr="0078325F">
        <w:rPr>
          <w:rFonts w:ascii="Times New Roman" w:hAnsi="Times New Roman" w:cs="Times New Roman"/>
        </w:rPr>
        <w:t xml:space="preserve">5-days </w:t>
      </w:r>
      <w:r w:rsidR="001C0830" w:rsidRPr="0078325F">
        <w:rPr>
          <w:rFonts w:ascii="Times New Roman" w:hAnsi="Times New Roman" w:cs="Times New Roman"/>
        </w:rPr>
        <w:t xml:space="preserve">actual </w:t>
      </w:r>
      <w:r w:rsidR="00474C8C" w:rsidRPr="0078325F">
        <w:rPr>
          <w:rFonts w:ascii="Times New Roman" w:hAnsi="Times New Roman" w:cs="Times New Roman"/>
        </w:rPr>
        <w:t xml:space="preserve">returns </w:t>
      </w:r>
      <w:r w:rsidR="00586812" w:rsidRPr="0078325F">
        <w:rPr>
          <w:rFonts w:ascii="Times New Roman" w:hAnsi="Times New Roman" w:cs="Times New Roman"/>
        </w:rPr>
        <w:t xml:space="preserve">of portfolio </w:t>
      </w:r>
      <w:r w:rsidR="009E5C47" w:rsidRPr="0078325F">
        <w:rPr>
          <w:rFonts w:ascii="Times New Roman" w:hAnsi="Times New Roman" w:cs="Times New Roman"/>
        </w:rPr>
        <w:t>over a rolling window N</w:t>
      </w:r>
      <w:r w:rsidR="00FD07D3" w:rsidRPr="0078325F">
        <w:rPr>
          <w:rFonts w:ascii="Times New Roman" w:hAnsi="Times New Roman" w:cs="Times New Roman"/>
        </w:rPr>
        <w:t xml:space="preserve"> to determine its 99% percentile after sorting</w:t>
      </w:r>
      <w:r w:rsidR="000244E2" w:rsidRPr="0078325F">
        <w:rPr>
          <w:rFonts w:ascii="Times New Roman" w:hAnsi="Times New Roman" w:cs="Times New Roman"/>
        </w:rPr>
        <w:t xml:space="preserve">. </w:t>
      </w:r>
      <w:r w:rsidR="00C66EB0" w:rsidRPr="0078325F">
        <w:rPr>
          <w:rFonts w:ascii="Times New Roman" w:hAnsi="Times New Roman" w:cs="Times New Roman"/>
        </w:rPr>
        <w:t xml:space="preserve">Historical ES takes average of </w:t>
      </w:r>
      <w:r w:rsidR="00AF611E">
        <w:rPr>
          <w:rFonts w:ascii="Times New Roman" w:hAnsi="Times New Roman" w:cs="Times New Roman"/>
        </w:rPr>
        <w:t xml:space="preserve">losses </w:t>
      </w:r>
      <w:r w:rsidR="00C66EB0" w:rsidRPr="0078325F">
        <w:rPr>
          <w:rFonts w:ascii="Times New Roman" w:hAnsi="Times New Roman" w:cs="Times New Roman"/>
        </w:rPr>
        <w:t>exceed</w:t>
      </w:r>
      <w:r w:rsidR="00AF611E">
        <w:rPr>
          <w:rFonts w:ascii="Times New Roman" w:hAnsi="Times New Roman" w:cs="Times New Roman"/>
        </w:rPr>
        <w:t>ing</w:t>
      </w:r>
      <w:r w:rsidR="00605C0E" w:rsidRPr="0078325F">
        <w:rPr>
          <w:rFonts w:ascii="Times New Roman" w:hAnsi="Times New Roman" w:cs="Times New Roman"/>
        </w:rPr>
        <w:t xml:space="preserve"> </w:t>
      </w:r>
      <w:r w:rsidR="00AF611E">
        <w:rPr>
          <w:rFonts w:ascii="Times New Roman" w:hAnsi="Times New Roman" w:cs="Times New Roman"/>
        </w:rPr>
        <w:t xml:space="preserve">97.5% </w:t>
      </w:r>
      <w:r w:rsidR="00605C0E" w:rsidRPr="0078325F">
        <w:rPr>
          <w:rFonts w:ascii="Times New Roman" w:hAnsi="Times New Roman" w:cs="Times New Roman"/>
        </w:rPr>
        <w:t xml:space="preserve">Historical </w:t>
      </w:r>
      <w:proofErr w:type="spellStart"/>
      <w:r w:rsidR="00605C0E" w:rsidRPr="0078325F">
        <w:rPr>
          <w:rFonts w:ascii="Times New Roman" w:hAnsi="Times New Roman" w:cs="Times New Roman"/>
        </w:rPr>
        <w:t>VaR.</w:t>
      </w:r>
      <w:proofErr w:type="spellEnd"/>
      <w:r w:rsidR="00605C0E" w:rsidRPr="0078325F">
        <w:rPr>
          <w:rFonts w:ascii="Times New Roman" w:hAnsi="Times New Roman" w:cs="Times New Roman"/>
        </w:rPr>
        <w:t xml:space="preserve"> </w:t>
      </w:r>
    </w:p>
    <w:p w14:paraId="290526BE" w14:textId="76DDE599" w:rsidR="009A0C4B" w:rsidRPr="0078325F" w:rsidRDefault="009A0C4B" w:rsidP="00D15565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" w:name="_Toc26955576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Parametric </w:t>
      </w:r>
      <w:proofErr w:type="spellStart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>VaR</w:t>
      </w:r>
      <w:proofErr w:type="spellEnd"/>
      <w:r w:rsidR="00702B7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and ES</w:t>
      </w:r>
      <w:bookmarkEnd w:id="16"/>
    </w:p>
    <w:p w14:paraId="15AEA675" w14:textId="73C5C72F" w:rsidR="00136A4F" w:rsidRPr="0078325F" w:rsidRDefault="00EE3182" w:rsidP="00D1556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Traditionally, </w:t>
      </w:r>
      <w:r w:rsidR="00B74B7F" w:rsidRPr="0078325F">
        <w:rPr>
          <w:rFonts w:ascii="Times New Roman" w:hAnsi="Times New Roman" w:cs="Times New Roman"/>
        </w:rPr>
        <w:t xml:space="preserve">Parametric </w:t>
      </w:r>
      <w:proofErr w:type="spellStart"/>
      <w:r w:rsidR="00B74B7F" w:rsidRPr="0078325F">
        <w:rPr>
          <w:rFonts w:ascii="Times New Roman" w:hAnsi="Times New Roman" w:cs="Times New Roman"/>
        </w:rPr>
        <w:t>VaR</w:t>
      </w:r>
      <w:proofErr w:type="spellEnd"/>
      <w:r w:rsidR="005473BD" w:rsidRPr="0078325F">
        <w:rPr>
          <w:rFonts w:ascii="Times New Roman" w:hAnsi="Times New Roman" w:cs="Times New Roman"/>
        </w:rPr>
        <w:t xml:space="preserve"> assumes that the </w:t>
      </w:r>
      <w:r w:rsidR="002E5020" w:rsidRPr="0078325F">
        <w:rPr>
          <w:rFonts w:ascii="Times New Roman" w:hAnsi="Times New Roman" w:cs="Times New Roman"/>
        </w:rPr>
        <w:t xml:space="preserve">portfolio returns </w:t>
      </w:r>
      <w:proofErr w:type="gramStart"/>
      <w:r w:rsidR="002E5020" w:rsidRPr="0078325F">
        <w:rPr>
          <w:rFonts w:ascii="Times New Roman" w:hAnsi="Times New Roman" w:cs="Times New Roman"/>
        </w:rPr>
        <w:t>as a whole will</w:t>
      </w:r>
      <w:proofErr w:type="gramEnd"/>
      <w:r w:rsidR="002E5020" w:rsidRPr="0078325F">
        <w:rPr>
          <w:rFonts w:ascii="Times New Roman" w:hAnsi="Times New Roman" w:cs="Times New Roman"/>
        </w:rPr>
        <w:t xml:space="preserve"> follow a normal distribution</w:t>
      </w:r>
      <w:r w:rsidR="00CC6E6E" w:rsidRPr="0078325F">
        <w:rPr>
          <w:rFonts w:ascii="Times New Roman" w:hAnsi="Times New Roman" w:cs="Times New Roman"/>
        </w:rPr>
        <w:t xml:space="preserve"> to generate a 99% </w:t>
      </w:r>
      <w:r w:rsidR="00E8100C" w:rsidRPr="0078325F">
        <w:rPr>
          <w:rFonts w:ascii="Times New Roman" w:hAnsi="Times New Roman" w:cs="Times New Roman"/>
        </w:rPr>
        <w:t xml:space="preserve">percentile after sorting. </w:t>
      </w:r>
      <w:r w:rsidR="00DD3F31" w:rsidRPr="0078325F">
        <w:rPr>
          <w:rFonts w:ascii="Times New Roman" w:hAnsi="Times New Roman" w:cs="Times New Roman"/>
        </w:rPr>
        <w:t xml:space="preserve">Suppose </w:t>
      </w:r>
      <w:r w:rsidR="00252676" w:rsidRPr="0078325F">
        <w:rPr>
          <w:rFonts w:ascii="Times New Roman" w:hAnsi="Times New Roman" w:cs="Times New Roman"/>
        </w:rPr>
        <w:t>there are N instruments in the portfolio, with weights assigned to those instruments</w:t>
      </w:r>
      <w:r w:rsidR="004928A5" w:rsidRPr="0078325F">
        <w:rPr>
          <w:rFonts w:ascii="Times New Roman" w:hAnsi="Times New Roman" w:cs="Times New Roman"/>
        </w:rPr>
        <w:t xml:space="preserve">, which is denoted as a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="00BD340B" w:rsidRPr="0078325F">
        <w:rPr>
          <w:rFonts w:ascii="Times New Roman" w:hAnsi="Times New Roman" w:cs="Times New Roman"/>
        </w:rPr>
        <w:t xml:space="preserve">. </w:t>
      </w:r>
      <w:r w:rsidR="00026544" w:rsidRPr="0078325F">
        <w:rPr>
          <w:rFonts w:ascii="Times New Roman" w:hAnsi="Times New Roman" w:cs="Times New Roman"/>
        </w:rPr>
        <w:t>Based on</w:t>
      </w:r>
      <w:r w:rsidR="00BD340B" w:rsidRPr="0078325F">
        <w:rPr>
          <w:rFonts w:ascii="Times New Roman" w:hAnsi="Times New Roman" w:cs="Times New Roman"/>
        </w:rPr>
        <w:t xml:space="preserve"> returns </w:t>
      </w:r>
      <w:r w:rsidR="00026544" w:rsidRPr="0078325F">
        <w:rPr>
          <w:rFonts w:ascii="Times New Roman" w:hAnsi="Times New Roman" w:cs="Times New Roman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="008527F1" w:rsidRPr="0078325F">
        <w:rPr>
          <w:rFonts w:ascii="Times New Roman" w:hAnsi="Times New Roman" w:cs="Times New Roman"/>
        </w:rPr>
        <w:t xml:space="preserve">, </w:t>
      </w:r>
      <w:r w:rsidR="00026544" w:rsidRPr="0078325F">
        <w:rPr>
          <w:rFonts w:ascii="Times New Roman" w:hAnsi="Times New Roman" w:cs="Times New Roman"/>
        </w:rPr>
        <w:t>and variance-covariance matrix</w:t>
      </w:r>
      <w:r w:rsidR="008527F1" w:rsidRPr="0078325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N,N</m:t>
                      </m:r>
                    </m:e>
                  </m:d>
                </m:e>
              </m:mr>
            </m:m>
          </m:e>
        </m:d>
      </m:oMath>
      <w:r w:rsidR="002A4B44" w:rsidRPr="0078325F">
        <w:rPr>
          <w:rFonts w:ascii="Times New Roman" w:hAnsi="Times New Roman" w:cs="Times New Roman"/>
        </w:rPr>
        <w:t xml:space="preserve">, </w:t>
      </w:r>
      <w:r w:rsidR="00134A9F" w:rsidRPr="0078325F">
        <w:rPr>
          <w:rFonts w:ascii="Times New Roman" w:hAnsi="Times New Roman" w:cs="Times New Roman"/>
        </w:rPr>
        <w:t>it is easy to determine the normal distribution</w:t>
      </w:r>
      <w:r w:rsidR="00F17712" w:rsidRPr="0078325F">
        <w:rPr>
          <w:rFonts w:ascii="Times New Roman" w:hAnsi="Times New Roman" w:cs="Times New Roman"/>
        </w:rPr>
        <w:t xml:space="preserve"> of the portfolio P</w:t>
      </w:r>
      <w:r w:rsidR="00134A9F" w:rsidRPr="0078325F">
        <w:rPr>
          <w:rFonts w:ascii="Times New Roman" w:hAnsi="Times New Roman" w:cs="Times New Roman"/>
        </w:rPr>
        <w:t xml:space="preserve">: </w:t>
      </w:r>
    </w:p>
    <w:p w14:paraId="1BC4C474" w14:textId="58A84CBC" w:rsidR="0009196B" w:rsidRPr="0078325F" w:rsidRDefault="00F4048B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</m:e>
          </m:d>
        </m:oMath>
      </m:oMathPara>
    </w:p>
    <w:p w14:paraId="4E36B991" w14:textId="1BC7B167" w:rsidR="000B4AEA" w:rsidRPr="0078325F" w:rsidRDefault="00A32C2D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Hence, 99% </w:t>
      </w:r>
      <w:proofErr w:type="spellStart"/>
      <w:r w:rsidRPr="0078325F">
        <w:rPr>
          <w:rFonts w:ascii="Times New Roman" w:hAnsi="Times New Roman" w:cs="Times New Roman"/>
        </w:rPr>
        <w:t>VaR</w:t>
      </w:r>
      <w:proofErr w:type="spellEnd"/>
      <w:r w:rsidRPr="0078325F">
        <w:rPr>
          <w:rFonts w:ascii="Times New Roman" w:hAnsi="Times New Roman" w:cs="Times New Roman"/>
        </w:rPr>
        <w:t xml:space="preserve"> is determined by </w:t>
      </w:r>
      <m:oMath>
        <m:r>
          <w:rPr>
            <w:rFonts w:ascii="Cambria Math" w:hAnsi="Cambria Math" w:cs="Times New Roman"/>
          </w:rPr>
          <m:t>VaR=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1%</m:t>
            </m:r>
          </m:e>
        </m:d>
      </m:oMath>
    </w:p>
    <w:p w14:paraId="377BA094" w14:textId="1111D050" w:rsidR="00D16999" w:rsidRDefault="00BD13DE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However, since option price </w:t>
      </w:r>
      <w:r w:rsidR="00194D89">
        <w:rPr>
          <w:rFonts w:ascii="Times New Roman" w:hAnsi="Times New Roman" w:cs="Times New Roman"/>
        </w:rPr>
        <w:t xml:space="preserve">yields </w:t>
      </w:r>
      <w:r w:rsidRPr="0078325F">
        <w:rPr>
          <w:rFonts w:ascii="Times New Roman" w:hAnsi="Times New Roman" w:cs="Times New Roman"/>
        </w:rPr>
        <w:t xml:space="preserve">a nonlinear </w:t>
      </w:r>
      <w:r w:rsidR="00194D89">
        <w:rPr>
          <w:rFonts w:ascii="Times New Roman" w:hAnsi="Times New Roman" w:cs="Times New Roman"/>
        </w:rPr>
        <w:t>payoff</w:t>
      </w:r>
      <w:r w:rsidRPr="0078325F">
        <w:rPr>
          <w:rFonts w:ascii="Times New Roman" w:hAnsi="Times New Roman" w:cs="Times New Roman"/>
        </w:rPr>
        <w:t xml:space="preserve">, </w:t>
      </w:r>
      <w:r w:rsidR="00B625DC" w:rsidRPr="0078325F">
        <w:rPr>
          <w:rFonts w:ascii="Times New Roman" w:hAnsi="Times New Roman" w:cs="Times New Roman"/>
        </w:rPr>
        <w:t xml:space="preserve">it is impossible to apply variance-covariance matrix to calculate the </w:t>
      </w:r>
      <w:r w:rsidR="004F7668" w:rsidRPr="0078325F">
        <w:rPr>
          <w:rFonts w:ascii="Times New Roman" w:hAnsi="Times New Roman" w:cs="Times New Roman"/>
        </w:rPr>
        <w:t>result</w:t>
      </w:r>
      <w:r w:rsidR="00094DE7" w:rsidRPr="0078325F">
        <w:rPr>
          <w:rFonts w:ascii="Times New Roman" w:hAnsi="Times New Roman" w:cs="Times New Roman"/>
        </w:rPr>
        <w:t xml:space="preserve"> if there is an option in the portfolio</w:t>
      </w:r>
      <w:r w:rsidR="004F7668" w:rsidRPr="0078325F">
        <w:rPr>
          <w:rFonts w:ascii="Times New Roman" w:hAnsi="Times New Roman" w:cs="Times New Roman"/>
        </w:rPr>
        <w:t xml:space="preserve">. </w:t>
      </w:r>
      <w:r w:rsidR="00094DE7" w:rsidRPr="0078325F">
        <w:rPr>
          <w:rFonts w:ascii="Times New Roman" w:hAnsi="Times New Roman" w:cs="Times New Roman"/>
        </w:rPr>
        <w:t xml:space="preserve">Hence, </w:t>
      </w:r>
      <w:r w:rsidR="00F11B32" w:rsidRPr="0078325F">
        <w:rPr>
          <w:rFonts w:ascii="Times New Roman" w:hAnsi="Times New Roman" w:cs="Times New Roman"/>
        </w:rPr>
        <w:t xml:space="preserve">this model will not </w:t>
      </w:r>
      <w:r w:rsidR="004C06D6" w:rsidRPr="0078325F">
        <w:rPr>
          <w:rFonts w:ascii="Times New Roman" w:hAnsi="Times New Roman" w:cs="Times New Roman"/>
        </w:rPr>
        <w:t xml:space="preserve">conduct the </w:t>
      </w:r>
      <w:r w:rsidR="00C960E4">
        <w:rPr>
          <w:rFonts w:ascii="Times New Roman" w:hAnsi="Times New Roman" w:cs="Times New Roman"/>
        </w:rPr>
        <w:t xml:space="preserve">traditional </w:t>
      </w:r>
      <w:r w:rsidR="004C06D6" w:rsidRPr="0078325F">
        <w:rPr>
          <w:rFonts w:ascii="Times New Roman" w:hAnsi="Times New Roman" w:cs="Times New Roman"/>
        </w:rPr>
        <w:t xml:space="preserve">parametric </w:t>
      </w:r>
      <w:proofErr w:type="spellStart"/>
      <w:r w:rsidR="004C06D6" w:rsidRPr="0078325F">
        <w:rPr>
          <w:rFonts w:ascii="Times New Roman" w:hAnsi="Times New Roman" w:cs="Times New Roman"/>
        </w:rPr>
        <w:t>VaR</w:t>
      </w:r>
      <w:proofErr w:type="spellEnd"/>
      <w:r w:rsidR="004C06D6" w:rsidRPr="0078325F">
        <w:rPr>
          <w:rFonts w:ascii="Times New Roman" w:hAnsi="Times New Roman" w:cs="Times New Roman"/>
        </w:rPr>
        <w:t xml:space="preserve"> calculation</w:t>
      </w:r>
      <w:r w:rsidR="009A148D" w:rsidRPr="0078325F">
        <w:rPr>
          <w:rFonts w:ascii="Times New Roman" w:hAnsi="Times New Roman" w:cs="Times New Roman"/>
        </w:rPr>
        <w:t xml:space="preserve"> </w:t>
      </w:r>
      <w:r w:rsidR="00E92379" w:rsidRPr="0078325F">
        <w:rPr>
          <w:rFonts w:ascii="Times New Roman" w:hAnsi="Times New Roman" w:cs="Times New Roman"/>
        </w:rPr>
        <w:t xml:space="preserve">of the portfolio </w:t>
      </w:r>
      <w:r w:rsidR="009A148D" w:rsidRPr="0078325F">
        <w:rPr>
          <w:rFonts w:ascii="Times New Roman" w:hAnsi="Times New Roman" w:cs="Times New Roman"/>
        </w:rPr>
        <w:t>in this case</w:t>
      </w:r>
      <w:r w:rsidR="004C06D6" w:rsidRPr="0078325F">
        <w:rPr>
          <w:rFonts w:ascii="Times New Roman" w:hAnsi="Times New Roman" w:cs="Times New Roman"/>
        </w:rPr>
        <w:t xml:space="preserve">. </w:t>
      </w:r>
      <w:r w:rsidR="00854329">
        <w:rPr>
          <w:rFonts w:ascii="Times New Roman" w:hAnsi="Times New Roman" w:cs="Times New Roman"/>
        </w:rPr>
        <w:t xml:space="preserve">It will </w:t>
      </w:r>
      <w:r w:rsidR="00130F4F">
        <w:rPr>
          <w:rFonts w:ascii="Times New Roman" w:hAnsi="Times New Roman" w:cs="Times New Roman"/>
        </w:rPr>
        <w:t xml:space="preserve">instead calculate the </w:t>
      </w:r>
      <w:proofErr w:type="spellStart"/>
      <w:r w:rsidR="00130F4F">
        <w:rPr>
          <w:rFonts w:ascii="Times New Roman" w:hAnsi="Times New Roman" w:cs="Times New Roman"/>
        </w:rPr>
        <w:t>VaR</w:t>
      </w:r>
      <w:proofErr w:type="spellEnd"/>
      <w:r w:rsidR="00130F4F">
        <w:rPr>
          <w:rFonts w:ascii="Times New Roman" w:hAnsi="Times New Roman" w:cs="Times New Roman"/>
        </w:rPr>
        <w:t xml:space="preserve"> </w:t>
      </w:r>
      <w:proofErr w:type="gramStart"/>
      <w:r w:rsidR="001A16A3">
        <w:rPr>
          <w:rFonts w:ascii="Times New Roman" w:hAnsi="Times New Roman" w:cs="Times New Roman"/>
        </w:rPr>
        <w:t>assuming that</w:t>
      </w:r>
      <w:proofErr w:type="gramEnd"/>
      <w:r w:rsidR="008D42A3">
        <w:rPr>
          <w:rFonts w:ascii="Times New Roman" w:hAnsi="Times New Roman" w:cs="Times New Roman"/>
        </w:rPr>
        <w:t xml:space="preserve"> the whole portfolio follows a GBM process</w:t>
      </w:r>
      <w:r w:rsidR="00301340">
        <w:rPr>
          <w:rFonts w:ascii="Times New Roman" w:hAnsi="Times New Roman" w:cs="Times New Roman"/>
        </w:rPr>
        <w:t xml:space="preserve">: </w:t>
      </w:r>
    </w:p>
    <w:p w14:paraId="65C2D58D" w14:textId="29F56ED3" w:rsidR="00301340" w:rsidRPr="00301340" w:rsidRDefault="00301340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dt+σ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52FA0AE4" w14:textId="29F90E35" w:rsidR="000435E4" w:rsidRDefault="00301340" w:rsidP="000435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42581A">
        <w:rPr>
          <w:rFonts w:ascii="Times New Roman" w:hAnsi="Times New Roman" w:cs="Times New Roman"/>
        </w:rPr>
        <w:t xml:space="preserve">Π </w:t>
      </w:r>
      <w:r w:rsidR="00F54862">
        <w:rPr>
          <w:rFonts w:ascii="Times New Roman" w:hAnsi="Times New Roman" w:cs="Times New Roman"/>
        </w:rPr>
        <w:t xml:space="preserve">stands for </w:t>
      </w:r>
      <w:r w:rsidR="0042581A">
        <w:rPr>
          <w:rFonts w:ascii="Times New Roman" w:hAnsi="Times New Roman" w:cs="Times New Roman"/>
        </w:rPr>
        <w:t xml:space="preserve">the portfolio, µ </w:t>
      </w:r>
      <w:r w:rsidR="00F54862">
        <w:rPr>
          <w:rFonts w:ascii="Times New Roman" w:hAnsi="Times New Roman" w:cs="Times New Roman"/>
        </w:rPr>
        <w:t>for the drift of the portfolio</w:t>
      </w:r>
      <w:r w:rsidR="00C21731">
        <w:rPr>
          <w:rFonts w:ascii="Times New Roman" w:hAnsi="Times New Roman" w:cs="Times New Roman"/>
        </w:rPr>
        <w:t>’s return</w:t>
      </w:r>
      <w:r w:rsidR="00F54862">
        <w:rPr>
          <w:rFonts w:ascii="Times New Roman" w:hAnsi="Times New Roman" w:cs="Times New Roman"/>
        </w:rPr>
        <w:t xml:space="preserve"> </w:t>
      </w:r>
      <w:r w:rsidR="0042581A">
        <w:rPr>
          <w:rFonts w:ascii="Times New Roman" w:hAnsi="Times New Roman" w:cs="Times New Roman"/>
        </w:rPr>
        <w:t>and σ</w:t>
      </w:r>
      <w:r w:rsidR="00F54862">
        <w:rPr>
          <w:rFonts w:ascii="Times New Roman" w:hAnsi="Times New Roman" w:cs="Times New Roman"/>
        </w:rPr>
        <w:t xml:space="preserve"> for the volatility of the portfolio</w:t>
      </w:r>
      <w:r w:rsidR="00C21731">
        <w:rPr>
          <w:rFonts w:ascii="Times New Roman" w:hAnsi="Times New Roman" w:cs="Times New Roman"/>
        </w:rPr>
        <w:t>’s return</w:t>
      </w:r>
      <w:r w:rsidR="00F54862">
        <w:rPr>
          <w:rFonts w:ascii="Times New Roman" w:hAnsi="Times New Roman" w:cs="Times New Roman"/>
        </w:rPr>
        <w:t xml:space="preserve">. </w:t>
      </w:r>
    </w:p>
    <w:p w14:paraId="5D80AA00" w14:textId="2E42C37A" w:rsidR="000435E4" w:rsidRDefault="0061554D" w:rsidP="000435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model, the initial position </w:t>
      </w:r>
      <w:r w:rsidR="008123D4">
        <w:rPr>
          <w:rFonts w:ascii="Times New Roman" w:hAnsi="Times New Roman" w:cs="Times New Roman"/>
        </w:rPr>
        <w:t xml:space="preserve">sets a default value as $10,000. </w:t>
      </w:r>
      <w:r w:rsidR="000435E4">
        <w:rPr>
          <w:rFonts w:ascii="Times New Roman" w:hAnsi="Times New Roman" w:cs="Times New Roman"/>
        </w:rPr>
        <w:t xml:space="preserve">If the portfolio is in a long position, </w:t>
      </w:r>
      <w:proofErr w:type="spellStart"/>
      <w:r w:rsidR="000435E4">
        <w:rPr>
          <w:rFonts w:ascii="Times New Roman" w:hAnsi="Times New Roman" w:cs="Times New Roman"/>
        </w:rPr>
        <w:t>VaR</w:t>
      </w:r>
      <w:proofErr w:type="spellEnd"/>
      <w:r w:rsidR="000435E4">
        <w:rPr>
          <w:rFonts w:ascii="Times New Roman" w:hAnsi="Times New Roman" w:cs="Times New Roman"/>
        </w:rPr>
        <w:t xml:space="preserve"> </w:t>
      </w:r>
      <w:r w:rsidR="000435E4">
        <w:rPr>
          <w:rFonts w:ascii="Times New Roman" w:hAnsi="Times New Roman" w:cs="Times New Roman" w:hint="eastAsia"/>
        </w:rPr>
        <w:t>and</w:t>
      </w:r>
      <w:r w:rsidR="000435E4">
        <w:rPr>
          <w:rFonts w:ascii="Times New Roman" w:hAnsi="Times New Roman" w:cs="Times New Roman"/>
        </w:rPr>
        <w:t xml:space="preserve"> ES are given as follows: </w:t>
      </w:r>
    </w:p>
    <w:p w14:paraId="2C06AA01" w14:textId="77777777" w:rsidR="000435E4" w:rsidRPr="00432F90" w:rsidRDefault="000435E4" w:rsidP="000435E4">
      <w:pPr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,T,p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T+σ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sup>
          </m:sSup>
        </m:oMath>
      </m:oMathPara>
    </w:p>
    <w:p w14:paraId="16B4A056" w14:textId="77777777" w:rsidR="000435E4" w:rsidRPr="00E11B39" w:rsidRDefault="000435E4" w:rsidP="000435E4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,T,p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μT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1-p</m:t>
              </m:r>
            </m:den>
          </m:f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,T,p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</m:oMath>
      </m:oMathPara>
    </w:p>
    <w:p w14:paraId="2A77D105" w14:textId="77777777" w:rsidR="000435E4" w:rsidRDefault="000435E4" w:rsidP="00043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portfolio is in a short position,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and ES are given as follows: </w:t>
      </w:r>
    </w:p>
    <w:p w14:paraId="519A751F" w14:textId="77777777" w:rsidR="000435E4" w:rsidRPr="00654F9B" w:rsidRDefault="000435E4" w:rsidP="000435E4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,T,p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T+σ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d>
                </m:sup>
              </m:sSup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func>
        </m:oMath>
      </m:oMathPara>
    </w:p>
    <w:p w14:paraId="1CC52A72" w14:textId="419539CA" w:rsidR="000435E4" w:rsidRPr="004B3790" w:rsidRDefault="000435E4" w:rsidP="00EE3182">
      <w:pPr>
        <w:pStyle w:val="NoSpacing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,T,p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μT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1-p</m:t>
              </m:r>
            </m:den>
          </m:f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,T,p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μ+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4A2AE352" w14:textId="77777777" w:rsidR="004B3790" w:rsidRPr="0078325F" w:rsidRDefault="004B3790" w:rsidP="004B3790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" w:name="_Toc26955577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Monte Carlo </w:t>
      </w:r>
      <w:proofErr w:type="spellStart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>VaR</w:t>
      </w:r>
      <w:proofErr w:type="spellEnd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and Monte Carlo ES</w:t>
      </w:r>
      <w:bookmarkEnd w:id="17"/>
    </w:p>
    <w:p w14:paraId="6A5FACAF" w14:textId="77777777" w:rsidR="004B3790" w:rsidRPr="0078325F" w:rsidRDefault="004B3790" w:rsidP="004B379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model will determine Monte Carlo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 and Monte Carlo ES by taking into consideration the portfolio itself. </w:t>
      </w:r>
      <w:r w:rsidRPr="0078325F">
        <w:rPr>
          <w:rFonts w:ascii="Times New Roman" w:hAnsi="Times New Roman" w:cs="Times New Roman"/>
        </w:rPr>
        <w:t>Monte</w:t>
      </w:r>
      <w:r>
        <w:rPr>
          <w:rFonts w:ascii="Times New Roman" w:hAnsi="Times New Roman" w:cs="Times New Roman"/>
        </w:rPr>
        <w:t xml:space="preserve"> </w:t>
      </w:r>
      <w:r w:rsidRPr="0078325F">
        <w:rPr>
          <w:rFonts w:ascii="Times New Roman" w:hAnsi="Times New Roman" w:cs="Times New Roman"/>
        </w:rPr>
        <w:t>Carlo simulation, presuming GBM</w:t>
      </w:r>
      <w:r>
        <w:rPr>
          <w:rFonts w:ascii="Times New Roman" w:hAnsi="Times New Roman" w:cs="Times New Roman"/>
        </w:rPr>
        <w:t xml:space="preserve"> process</w:t>
      </w:r>
      <w:r w:rsidRPr="0078325F">
        <w:rPr>
          <w:rFonts w:ascii="Times New Roman" w:hAnsi="Times New Roman" w:cs="Times New Roman"/>
        </w:rPr>
        <w:t xml:space="preserve">, leverages Weiner Process to generate 10000 different paths that appears in log-return of </w:t>
      </w:r>
      <w:r>
        <w:rPr>
          <w:rFonts w:ascii="Times New Roman" w:hAnsi="Times New Roman" w:cs="Times New Roman"/>
        </w:rPr>
        <w:t>the whole portfolio</w:t>
      </w:r>
      <w:r w:rsidRPr="0078325F">
        <w:rPr>
          <w:rFonts w:ascii="Times New Roman" w:hAnsi="Times New Roman" w:cs="Times New Roman"/>
        </w:rPr>
        <w:t xml:space="preserve"> whose distribution follows: </w:t>
      </w:r>
    </w:p>
    <w:p w14:paraId="7370A4FD" w14:textId="77777777" w:rsidR="004B3790" w:rsidRPr="0078325F" w:rsidRDefault="005D2907" w:rsidP="004B3790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t,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37681EF" w14:textId="379099B3" w:rsidR="004B3790" w:rsidRDefault="004B3790" w:rsidP="004B3790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>µ is the drift of the portfolio</w:t>
      </w:r>
      <w:r w:rsidR="00C21731">
        <w:rPr>
          <w:rFonts w:ascii="Times New Roman" w:hAnsi="Times New Roman" w:cs="Times New Roman"/>
        </w:rPr>
        <w:t>’s return</w:t>
      </w:r>
      <w:r>
        <w:rPr>
          <w:rFonts w:ascii="Times New Roman" w:hAnsi="Times New Roman" w:cs="Times New Roman"/>
        </w:rPr>
        <w:t>, and σ is the volatility of the portfolio</w:t>
      </w:r>
      <w:r w:rsidR="00C21731">
        <w:rPr>
          <w:rFonts w:ascii="Times New Roman" w:hAnsi="Times New Roman" w:cs="Times New Roman"/>
        </w:rPr>
        <w:t>’s return</w:t>
      </w:r>
      <w:r>
        <w:rPr>
          <w:rFonts w:ascii="Times New Roman" w:hAnsi="Times New Roman" w:cs="Times New Roman"/>
        </w:rPr>
        <w:t xml:space="preserve">, as </w:t>
      </w:r>
      <w:r w:rsidRPr="0078325F">
        <w:rPr>
          <w:rFonts w:ascii="Times New Roman" w:hAnsi="Times New Roman" w:cs="Times New Roman"/>
        </w:rPr>
        <w:t>t is the days in Monte-Carlo simulation</w:t>
      </w:r>
      <w:r>
        <w:rPr>
          <w:rFonts w:ascii="Times New Roman" w:hAnsi="Times New Roman" w:cs="Times New Roman"/>
        </w:rPr>
        <w:t xml:space="preserve">, </w:t>
      </w:r>
      <w:r w:rsidRPr="0078325F">
        <w:rPr>
          <w:rFonts w:ascii="Times New Roman" w:hAnsi="Times New Roman" w:cs="Times New Roman"/>
        </w:rPr>
        <w:t>the default value of which is 5 days</w:t>
      </w:r>
      <w:r>
        <w:rPr>
          <w:rFonts w:ascii="Times New Roman" w:hAnsi="Times New Roman" w:cs="Times New Roman"/>
        </w:rPr>
        <w:t xml:space="preserve">. As such, </w:t>
      </w:r>
      <w:r w:rsidRPr="0078325F">
        <w:rPr>
          <w:rFonts w:ascii="Times New Roman" w:hAnsi="Times New Roman" w:cs="Times New Roman"/>
        </w:rPr>
        <w:t xml:space="preserve">a 10000 path for the portfolio </w:t>
      </w:r>
      <w:r>
        <w:rPr>
          <w:rFonts w:ascii="Times New Roman" w:hAnsi="Times New Roman" w:cs="Times New Roman"/>
        </w:rPr>
        <w:t xml:space="preserve">are </w:t>
      </w:r>
      <w:r w:rsidRPr="0078325F">
        <w:rPr>
          <w:rFonts w:ascii="Times New Roman" w:hAnsi="Times New Roman" w:cs="Times New Roman"/>
        </w:rPr>
        <w:t>generated</w:t>
      </w:r>
      <w:r>
        <w:rPr>
          <w:rFonts w:ascii="Times New Roman" w:hAnsi="Times New Roman" w:cs="Times New Roman"/>
        </w:rPr>
        <w:t xml:space="preserve"> on each day in the observation, and t</w:t>
      </w:r>
      <w:r w:rsidRPr="0078325F">
        <w:rPr>
          <w:rFonts w:ascii="Times New Roman" w:hAnsi="Times New Roman" w:cs="Times New Roman"/>
        </w:rPr>
        <w:t xml:space="preserve">he portfolio P incurs a price at time t under Monte Carlo Simulation as a result of 10000 paths. </w:t>
      </w:r>
    </w:p>
    <w:p w14:paraId="14D6C83C" w14:textId="69C020F0" w:rsidR="004B3790" w:rsidRPr="0078325F" w:rsidRDefault="004B3790" w:rsidP="004B3790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Next, this model will automatically calculate and sort the result of P&amp;L over 10000 </w:t>
      </w:r>
      <w:proofErr w:type="gramStart"/>
      <w:r w:rsidRPr="0078325F">
        <w:rPr>
          <w:rFonts w:ascii="Times New Roman" w:hAnsi="Times New Roman" w:cs="Times New Roman"/>
        </w:rPr>
        <w:t>paths</w:t>
      </w:r>
      <w:r>
        <w:rPr>
          <w:rFonts w:ascii="Times New Roman" w:hAnsi="Times New Roman" w:cs="Times New Roman"/>
        </w:rPr>
        <w:t xml:space="preserve">, </w:t>
      </w:r>
      <w:r w:rsidRPr="0078325F">
        <w:rPr>
          <w:rFonts w:ascii="Times New Roman" w:hAnsi="Times New Roman" w:cs="Times New Roman"/>
        </w:rPr>
        <w:t>and</w:t>
      </w:r>
      <w:proofErr w:type="gramEnd"/>
      <w:r w:rsidRPr="0078325F">
        <w:rPr>
          <w:rFonts w:ascii="Times New Roman" w:hAnsi="Times New Roman" w:cs="Times New Roman"/>
        </w:rPr>
        <w:t xml:space="preserve"> choose its 99% percentile through Monte</w:t>
      </w:r>
      <w:r>
        <w:rPr>
          <w:rFonts w:ascii="Times New Roman" w:hAnsi="Times New Roman" w:cs="Times New Roman"/>
        </w:rPr>
        <w:t xml:space="preserve"> </w:t>
      </w:r>
      <w:r w:rsidRPr="0078325F">
        <w:rPr>
          <w:rFonts w:ascii="Times New Roman" w:hAnsi="Times New Roman" w:cs="Times New Roman"/>
        </w:rPr>
        <w:t>Carlo Simulation as the Monte</w:t>
      </w:r>
      <w:r>
        <w:rPr>
          <w:rFonts w:ascii="Times New Roman" w:hAnsi="Times New Roman" w:cs="Times New Roman"/>
        </w:rPr>
        <w:t xml:space="preserve"> </w:t>
      </w:r>
      <w:r w:rsidRPr="0078325F">
        <w:rPr>
          <w:rFonts w:ascii="Times New Roman" w:hAnsi="Times New Roman" w:cs="Times New Roman"/>
        </w:rPr>
        <w:t xml:space="preserve">Carlo </w:t>
      </w:r>
      <w:proofErr w:type="spellStart"/>
      <w:r w:rsidRPr="0078325F">
        <w:rPr>
          <w:rFonts w:ascii="Times New Roman" w:hAnsi="Times New Roman" w:cs="Times New Roman"/>
        </w:rPr>
        <w:t>VaR.</w:t>
      </w:r>
      <w:proofErr w:type="spellEnd"/>
      <w:r w:rsidRPr="0078325F">
        <w:rPr>
          <w:rFonts w:ascii="Times New Roman" w:hAnsi="Times New Roman" w:cs="Times New Roman"/>
        </w:rPr>
        <w:t xml:space="preserve"> Monte Carlo ES takes average of </w:t>
      </w:r>
      <w:r>
        <w:rPr>
          <w:rFonts w:ascii="Times New Roman" w:hAnsi="Times New Roman" w:cs="Times New Roman"/>
        </w:rPr>
        <w:t>10000 losses conditional on</w:t>
      </w:r>
      <w:r w:rsidRPr="0078325F">
        <w:rPr>
          <w:rFonts w:ascii="Times New Roman" w:hAnsi="Times New Roman" w:cs="Times New Roman"/>
        </w:rPr>
        <w:t xml:space="preserve"> exceed</w:t>
      </w:r>
      <w:r>
        <w:rPr>
          <w:rFonts w:ascii="Times New Roman" w:hAnsi="Times New Roman" w:cs="Times New Roman"/>
        </w:rPr>
        <w:t>ing</w:t>
      </w:r>
      <w:r w:rsidRPr="0078325F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7.5</w:t>
      </w:r>
      <w:r w:rsidRPr="0078325F">
        <w:rPr>
          <w:rFonts w:ascii="Times New Roman" w:hAnsi="Times New Roman" w:cs="Times New Roman"/>
        </w:rPr>
        <w:t>% Monte</w:t>
      </w:r>
      <w:r>
        <w:rPr>
          <w:rFonts w:ascii="Times New Roman" w:hAnsi="Times New Roman" w:cs="Times New Roman"/>
        </w:rPr>
        <w:t xml:space="preserve"> </w:t>
      </w:r>
      <w:r w:rsidRPr="0078325F">
        <w:rPr>
          <w:rFonts w:ascii="Times New Roman" w:hAnsi="Times New Roman" w:cs="Times New Roman"/>
        </w:rPr>
        <w:t xml:space="preserve">Carlo </w:t>
      </w:r>
      <w:proofErr w:type="spellStart"/>
      <w:r w:rsidRPr="0078325F">
        <w:rPr>
          <w:rFonts w:ascii="Times New Roman" w:hAnsi="Times New Roman" w:cs="Times New Roman"/>
        </w:rPr>
        <w:t>VaR.</w:t>
      </w:r>
      <w:proofErr w:type="spellEnd"/>
      <w:r w:rsidRPr="0078325F">
        <w:rPr>
          <w:rFonts w:ascii="Times New Roman" w:hAnsi="Times New Roman" w:cs="Times New Roman"/>
        </w:rPr>
        <w:t xml:space="preserve"> </w:t>
      </w:r>
    </w:p>
    <w:p w14:paraId="7F85403F" w14:textId="7B69470E" w:rsidR="00D31C00" w:rsidRPr="0078325F" w:rsidRDefault="008C0E74" w:rsidP="00D15565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" w:name="_Toc26955578"/>
      <w:r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Model </w:t>
      </w:r>
      <w:r w:rsidR="00ED4889" w:rsidRPr="0078325F">
        <w:rPr>
          <w:rFonts w:ascii="Times New Roman" w:hAnsi="Times New Roman" w:cs="Times New Roman"/>
          <w:b/>
          <w:bCs/>
          <w:color w:val="auto"/>
          <w:sz w:val="22"/>
          <w:szCs w:val="22"/>
        </w:rPr>
        <w:t>Validation</w:t>
      </w:r>
      <w:bookmarkEnd w:id="18"/>
    </w:p>
    <w:p w14:paraId="64CD7329" w14:textId="154E02FC" w:rsidR="009F7F54" w:rsidRPr="0078325F" w:rsidRDefault="0075256C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The scope of </w:t>
      </w:r>
      <w:r w:rsidR="00CC580D" w:rsidRPr="0078325F">
        <w:rPr>
          <w:rFonts w:ascii="Times New Roman" w:hAnsi="Times New Roman" w:cs="Times New Roman"/>
        </w:rPr>
        <w:t xml:space="preserve">Model validation </w:t>
      </w:r>
      <w:r w:rsidRPr="0078325F">
        <w:rPr>
          <w:rFonts w:ascii="Times New Roman" w:hAnsi="Times New Roman" w:cs="Times New Roman"/>
        </w:rPr>
        <w:t xml:space="preserve">involves </w:t>
      </w:r>
      <w:proofErr w:type="spellStart"/>
      <w:r w:rsidR="00017370">
        <w:rPr>
          <w:rFonts w:ascii="Times New Roman" w:hAnsi="Times New Roman" w:cs="Times New Roman"/>
        </w:rPr>
        <w:t>VaR</w:t>
      </w:r>
      <w:proofErr w:type="spellEnd"/>
      <w:r w:rsidR="00017370">
        <w:rPr>
          <w:rFonts w:ascii="Times New Roman" w:hAnsi="Times New Roman" w:cs="Times New Roman"/>
        </w:rPr>
        <w:t xml:space="preserve"> calculation</w:t>
      </w:r>
      <w:r w:rsidR="00B70C25" w:rsidRPr="0078325F">
        <w:rPr>
          <w:rFonts w:ascii="Times New Roman" w:hAnsi="Times New Roman" w:cs="Times New Roman"/>
        </w:rPr>
        <w:t>.</w:t>
      </w:r>
      <w:r w:rsidR="00A3727A" w:rsidRPr="00A3727A">
        <w:rPr>
          <w:rFonts w:ascii="Times New Roman" w:hAnsi="Times New Roman" w:cs="Times New Roman"/>
        </w:rPr>
        <w:t xml:space="preserve"> </w:t>
      </w:r>
      <w:r w:rsidR="00A3727A" w:rsidRPr="0078325F">
        <w:rPr>
          <w:rFonts w:ascii="Times New Roman" w:hAnsi="Times New Roman" w:cs="Times New Roman"/>
        </w:rPr>
        <w:t xml:space="preserve">To validate the </w:t>
      </w:r>
      <w:proofErr w:type="spellStart"/>
      <w:r w:rsidR="00A3727A">
        <w:rPr>
          <w:rFonts w:ascii="Times New Roman" w:hAnsi="Times New Roman" w:cs="Times New Roman"/>
        </w:rPr>
        <w:t>VaR</w:t>
      </w:r>
      <w:proofErr w:type="spellEnd"/>
      <w:r w:rsidR="00A3727A">
        <w:rPr>
          <w:rFonts w:ascii="Times New Roman" w:hAnsi="Times New Roman" w:cs="Times New Roman"/>
        </w:rPr>
        <w:t xml:space="preserve">, this model uses the </w:t>
      </w:r>
      <w:proofErr w:type="spellStart"/>
      <w:r w:rsidR="00A3727A">
        <w:rPr>
          <w:rFonts w:ascii="Times New Roman" w:hAnsi="Times New Roman" w:cs="Times New Roman"/>
        </w:rPr>
        <w:t>Backtesting</w:t>
      </w:r>
      <w:proofErr w:type="spellEnd"/>
      <w:r w:rsidR="00A3727A">
        <w:rPr>
          <w:rFonts w:ascii="Times New Roman" w:hAnsi="Times New Roman" w:cs="Times New Roman"/>
        </w:rPr>
        <w:t xml:space="preserve"> methodology</w:t>
      </w:r>
      <w:r w:rsidR="00B648B8">
        <w:rPr>
          <w:rFonts w:ascii="Times New Roman" w:hAnsi="Times New Roman" w:cs="Times New Roman"/>
        </w:rPr>
        <w:t xml:space="preserve">, </w:t>
      </w:r>
      <w:r w:rsidR="009634A6">
        <w:rPr>
          <w:rFonts w:ascii="Times New Roman" w:hAnsi="Times New Roman" w:cs="Times New Roman"/>
        </w:rPr>
        <w:t>suggesting that</w:t>
      </w:r>
      <w:r w:rsidR="0039092D">
        <w:rPr>
          <w:rFonts w:ascii="Times New Roman" w:hAnsi="Times New Roman" w:cs="Times New Roman"/>
        </w:rPr>
        <w:t xml:space="preserve"> it</w:t>
      </w:r>
      <w:r w:rsidR="002E626F" w:rsidRPr="0078325F">
        <w:rPr>
          <w:rFonts w:ascii="Times New Roman" w:hAnsi="Times New Roman" w:cs="Times New Roman"/>
        </w:rPr>
        <w:t xml:space="preserve"> need</w:t>
      </w:r>
      <w:r w:rsidR="0039092D">
        <w:rPr>
          <w:rFonts w:ascii="Times New Roman" w:hAnsi="Times New Roman" w:cs="Times New Roman"/>
        </w:rPr>
        <w:t>s</w:t>
      </w:r>
      <w:r w:rsidR="002E626F" w:rsidRPr="0078325F">
        <w:rPr>
          <w:rFonts w:ascii="Times New Roman" w:hAnsi="Times New Roman" w:cs="Times New Roman"/>
        </w:rPr>
        <w:t xml:space="preserve"> to </w:t>
      </w:r>
      <w:r w:rsidR="009634A6">
        <w:rPr>
          <w:rFonts w:ascii="Times New Roman" w:hAnsi="Times New Roman" w:cs="Times New Roman"/>
        </w:rPr>
        <w:t xml:space="preserve">calculate the real losses incurred in the past </w:t>
      </w:r>
      <w:r w:rsidR="00DF5C7B">
        <w:rPr>
          <w:rFonts w:ascii="Times New Roman" w:hAnsi="Times New Roman" w:cs="Times New Roman"/>
        </w:rPr>
        <w:t xml:space="preserve">and </w:t>
      </w:r>
      <w:r w:rsidR="002E626F" w:rsidRPr="0078325F">
        <w:rPr>
          <w:rFonts w:ascii="Times New Roman" w:hAnsi="Times New Roman" w:cs="Times New Roman"/>
        </w:rPr>
        <w:t xml:space="preserve">count </w:t>
      </w:r>
      <w:r w:rsidR="00065A40">
        <w:rPr>
          <w:rFonts w:ascii="Times New Roman" w:hAnsi="Times New Roman" w:cs="Times New Roman"/>
        </w:rPr>
        <w:t xml:space="preserve">in </w:t>
      </w:r>
      <w:r w:rsidR="00065A40" w:rsidRPr="0078325F">
        <w:rPr>
          <w:rFonts w:ascii="Times New Roman" w:hAnsi="Times New Roman" w:cs="Times New Roman"/>
        </w:rPr>
        <w:t>a one-year rolling window</w:t>
      </w:r>
      <w:r w:rsidR="00065A40">
        <w:rPr>
          <w:rFonts w:ascii="Times New Roman" w:hAnsi="Times New Roman" w:cs="Times New Roman"/>
        </w:rPr>
        <w:t xml:space="preserve"> </w:t>
      </w:r>
      <w:r w:rsidR="002E626F" w:rsidRPr="0078325F">
        <w:rPr>
          <w:rFonts w:ascii="Times New Roman" w:hAnsi="Times New Roman" w:cs="Times New Roman"/>
        </w:rPr>
        <w:t xml:space="preserve">exception </w:t>
      </w:r>
      <w:r w:rsidR="00B85B60">
        <w:rPr>
          <w:rFonts w:ascii="Times New Roman" w:hAnsi="Times New Roman" w:cs="Times New Roman"/>
        </w:rPr>
        <w:t xml:space="preserve">that exceeds the </w:t>
      </w:r>
      <w:proofErr w:type="spellStart"/>
      <w:r w:rsidR="00B85B60">
        <w:rPr>
          <w:rFonts w:ascii="Times New Roman" w:hAnsi="Times New Roman" w:cs="Times New Roman"/>
        </w:rPr>
        <w:t>VaR</w:t>
      </w:r>
      <w:proofErr w:type="spellEnd"/>
      <w:r w:rsidR="00B85B60">
        <w:rPr>
          <w:rFonts w:ascii="Times New Roman" w:hAnsi="Times New Roman" w:cs="Times New Roman"/>
        </w:rPr>
        <w:t xml:space="preserve"> </w:t>
      </w:r>
      <w:r w:rsidR="00065A40">
        <w:rPr>
          <w:rFonts w:ascii="Times New Roman" w:hAnsi="Times New Roman" w:cs="Times New Roman"/>
        </w:rPr>
        <w:t xml:space="preserve">that the model implies. </w:t>
      </w:r>
    </w:p>
    <w:p w14:paraId="026DE261" w14:textId="5049955D" w:rsidR="007B32F4" w:rsidRPr="0078325F" w:rsidRDefault="007B32F4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In this </w:t>
      </w:r>
      <w:proofErr w:type="spellStart"/>
      <w:r w:rsidR="00557AC6">
        <w:rPr>
          <w:rFonts w:ascii="Times New Roman" w:hAnsi="Times New Roman" w:cs="Times New Roman"/>
        </w:rPr>
        <w:t>backtesting</w:t>
      </w:r>
      <w:proofErr w:type="spellEnd"/>
      <w:r w:rsidR="00557AC6">
        <w:rPr>
          <w:rFonts w:ascii="Times New Roman" w:hAnsi="Times New Roman" w:cs="Times New Roman"/>
        </w:rPr>
        <w:t xml:space="preserve"> process</w:t>
      </w:r>
      <w:r w:rsidRPr="0078325F">
        <w:rPr>
          <w:rFonts w:ascii="Times New Roman" w:hAnsi="Times New Roman" w:cs="Times New Roman"/>
        </w:rPr>
        <w:t xml:space="preserve">, we develop a hypothesis test: </w:t>
      </w:r>
    </w:p>
    <w:p w14:paraId="513F1A45" w14:textId="7655723E" w:rsidR="007B32F4" w:rsidRPr="0078325F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:The model is correct</m:t>
          </m:r>
        </m:oMath>
      </m:oMathPara>
    </w:p>
    <w:p w14:paraId="74E1C9BB" w14:textId="6DEED60A" w:rsidR="00091840" w:rsidRPr="0078325F" w:rsidRDefault="005D2907" w:rsidP="00D15565">
      <w:pPr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:The model is incorrect</m:t>
          </m:r>
        </m:oMath>
      </m:oMathPara>
    </w:p>
    <w:p w14:paraId="3F2BB0B5" w14:textId="4E2A3AD5" w:rsidR="00904DA7" w:rsidRPr="0078325F" w:rsidRDefault="006B76A7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The exception</w:t>
      </w:r>
      <w:r w:rsidR="00740595" w:rsidRPr="0078325F">
        <w:rPr>
          <w:rFonts w:ascii="Times New Roman" w:hAnsi="Times New Roman" w:cs="Times New Roman"/>
        </w:rPr>
        <w:t xml:space="preserve">, denoted as X, should </w:t>
      </w:r>
      <w:r w:rsidRPr="0078325F">
        <w:rPr>
          <w:rFonts w:ascii="Times New Roman" w:hAnsi="Times New Roman" w:cs="Times New Roman"/>
        </w:rPr>
        <w:t xml:space="preserve">follow a </w:t>
      </w:r>
      <w:r w:rsidR="00C72DDA" w:rsidRPr="0078325F">
        <w:rPr>
          <w:rFonts w:ascii="Times New Roman" w:hAnsi="Times New Roman" w:cs="Times New Roman"/>
        </w:rPr>
        <w:t xml:space="preserve">binomial distribution; nevertheless, if the </w:t>
      </w:r>
      <w:r w:rsidR="00A075C1" w:rsidRPr="0078325F">
        <w:rPr>
          <w:rFonts w:ascii="Times New Roman" w:hAnsi="Times New Roman" w:cs="Times New Roman"/>
        </w:rPr>
        <w:t xml:space="preserve">sample size is </w:t>
      </w:r>
      <w:r w:rsidR="008366FE" w:rsidRPr="0078325F">
        <w:rPr>
          <w:rFonts w:ascii="Times New Roman" w:hAnsi="Times New Roman" w:cs="Times New Roman"/>
        </w:rPr>
        <w:t xml:space="preserve">greater enough, a normal approximation </w:t>
      </w:r>
      <w:r w:rsidR="00B17DDF" w:rsidRPr="0078325F">
        <w:rPr>
          <w:rFonts w:ascii="Times New Roman" w:hAnsi="Times New Roman" w:cs="Times New Roman"/>
        </w:rPr>
        <w:t>can be applied</w:t>
      </w:r>
      <w:r w:rsidR="00740595" w:rsidRPr="0078325F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np(1-p)</m:t>
                </m:r>
              </m:e>
            </m:rad>
          </m:den>
        </m:f>
        <m:r>
          <w:rPr>
            <w:rFonts w:ascii="Cambria Math" w:hAnsi="Cambria Math" w:cs="Times New Roman"/>
          </w:rPr>
          <m:t>~N(0,1)</m:t>
        </m:r>
      </m:oMath>
      <w:r w:rsidR="00A31516" w:rsidRPr="0078325F">
        <w:rPr>
          <w:rFonts w:ascii="Times New Roman" w:hAnsi="Times New Roman" w:cs="Times New Roman"/>
        </w:rPr>
        <w:t>, w</w:t>
      </w:r>
      <w:r w:rsidR="00740595" w:rsidRPr="0078325F">
        <w:rPr>
          <w:rFonts w:ascii="Times New Roman" w:hAnsi="Times New Roman" w:cs="Times New Roman"/>
        </w:rPr>
        <w:t xml:space="preserve">here n is the number of the sample size in the rolling window (252 in a year), and </w:t>
      </w:r>
      <w:r w:rsidR="00BB69E8" w:rsidRPr="0078325F">
        <w:rPr>
          <w:rFonts w:ascii="Times New Roman" w:hAnsi="Times New Roman" w:cs="Times New Roman"/>
        </w:rPr>
        <w:t>p is the percentage of the exception (1%) in this case.</w:t>
      </w:r>
      <w:r w:rsidR="009A6A75" w:rsidRPr="0078325F">
        <w:rPr>
          <w:rFonts w:ascii="Times New Roman" w:hAnsi="Times New Roman" w:cs="Times New Roman"/>
        </w:rPr>
        <w:t xml:space="preserve"> </w:t>
      </w:r>
      <w:r w:rsidR="00A24F3F" w:rsidRPr="0078325F">
        <w:rPr>
          <w:rFonts w:ascii="Times New Roman" w:hAnsi="Times New Roman" w:cs="Times New Roman"/>
        </w:rPr>
        <w:t xml:space="preserve">Confidence interval under (100-α%) is given as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1-p</m:t>
                </m:r>
              </m:e>
            </m:d>
          </m:e>
        </m:rad>
        <m:r>
          <w:rPr>
            <w:rFonts w:ascii="Cambria Math" w:hAnsi="Cambria Math" w:cs="Times New Roman"/>
          </w:rPr>
          <m:t xml:space="preserve">+np,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1-p</m:t>
                </m:r>
              </m:e>
            </m:d>
          </m:e>
        </m:rad>
        <m:r>
          <w:rPr>
            <w:rFonts w:ascii="Cambria Math" w:hAnsi="Cambria Math" w:cs="Times New Roman"/>
          </w:rPr>
          <m:t>+np)</m:t>
        </m:r>
      </m:oMath>
    </w:p>
    <w:p w14:paraId="2662D8A4" w14:textId="3EB0C05C" w:rsidR="00D15565" w:rsidRPr="0078325F" w:rsidRDefault="00435ADD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 xml:space="preserve">BASEL suggests a </w:t>
      </w:r>
      <w:r w:rsidR="00893072" w:rsidRPr="0078325F">
        <w:rPr>
          <w:rFonts w:ascii="Times New Roman" w:hAnsi="Times New Roman" w:cs="Times New Roman"/>
        </w:rPr>
        <w:t xml:space="preserve">95% </w:t>
      </w:r>
      <w:r w:rsidR="0077435F" w:rsidRPr="0078325F">
        <w:rPr>
          <w:rFonts w:ascii="Times New Roman" w:hAnsi="Times New Roman" w:cs="Times New Roman"/>
        </w:rPr>
        <w:t xml:space="preserve">confidence level </w:t>
      </w:r>
      <w:r w:rsidR="00893072" w:rsidRPr="0078325F">
        <w:rPr>
          <w:rFonts w:ascii="Times New Roman" w:hAnsi="Times New Roman" w:cs="Times New Roman"/>
        </w:rPr>
        <w:t xml:space="preserve">two-tail test against </w:t>
      </w:r>
      <w:r w:rsidR="001F283F" w:rsidRPr="0078325F">
        <w:rPr>
          <w:rFonts w:ascii="Times New Roman" w:hAnsi="Times New Roman" w:cs="Times New Roman"/>
        </w:rPr>
        <w:t xml:space="preserve">99% </w:t>
      </w:r>
      <w:r w:rsidR="0077435F" w:rsidRPr="0078325F">
        <w:rPr>
          <w:rFonts w:ascii="Times New Roman" w:hAnsi="Times New Roman" w:cs="Times New Roman"/>
        </w:rPr>
        <w:t xml:space="preserve">5-day </w:t>
      </w:r>
      <w:proofErr w:type="spellStart"/>
      <w:r w:rsidR="001F283F" w:rsidRPr="0078325F">
        <w:rPr>
          <w:rFonts w:ascii="Times New Roman" w:hAnsi="Times New Roman" w:cs="Times New Roman"/>
        </w:rPr>
        <w:t>VaR</w:t>
      </w:r>
      <w:proofErr w:type="spellEnd"/>
      <w:r w:rsidR="0077435F" w:rsidRPr="0078325F">
        <w:rPr>
          <w:rFonts w:ascii="Times New Roman" w:hAnsi="Times New Roman" w:cs="Times New Roman"/>
        </w:rPr>
        <w:t xml:space="preserve"> will be conducted. </w:t>
      </w:r>
      <w:r w:rsidR="00A31516" w:rsidRPr="0078325F">
        <w:rPr>
          <w:rFonts w:ascii="Times New Roman" w:hAnsi="Times New Roman" w:cs="Times New Roman"/>
        </w:rPr>
        <w:t xml:space="preserve">Hence, </w:t>
      </w:r>
      <w:r w:rsidR="00355C97" w:rsidRPr="0078325F">
        <w:rPr>
          <w:rFonts w:ascii="Times New Roman" w:hAnsi="Times New Roman" w:cs="Times New Roman"/>
        </w:rPr>
        <w:t>confidence interval would be</w:t>
      </w:r>
      <w:r w:rsidR="00531BD7" w:rsidRPr="0078325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(-0.5758, 5.6158)</m:t>
        </m:r>
      </m:oMath>
      <w:r w:rsidR="0088236A" w:rsidRPr="0078325F">
        <w:rPr>
          <w:rFonts w:ascii="Times New Roman" w:hAnsi="Times New Roman" w:cs="Times New Roman"/>
        </w:rPr>
        <w:t>; that is, w</w:t>
      </w:r>
      <w:r w:rsidR="00F5291E" w:rsidRPr="0078325F">
        <w:rPr>
          <w:rFonts w:ascii="Times New Roman" w:hAnsi="Times New Roman" w:cs="Times New Roman"/>
        </w:rPr>
        <w:t xml:space="preserve">e will reject the null hypothesis </w:t>
      </w:r>
      <w:r w:rsidR="00D53D05" w:rsidRPr="0078325F">
        <w:rPr>
          <w:rFonts w:ascii="Times New Roman" w:hAnsi="Times New Roman" w:cs="Times New Roman"/>
        </w:rPr>
        <w:t>that this model is correct</w:t>
      </w:r>
      <w:r w:rsidR="00A80ABC" w:rsidRPr="0078325F">
        <w:rPr>
          <w:rFonts w:ascii="Times New Roman" w:hAnsi="Times New Roman" w:cs="Times New Roman"/>
        </w:rPr>
        <w:t xml:space="preserve"> if the exception is greater than </w:t>
      </w:r>
      <w:r w:rsidR="0000693F" w:rsidRPr="0078325F">
        <w:rPr>
          <w:rFonts w:ascii="Times New Roman" w:hAnsi="Times New Roman" w:cs="Times New Roman"/>
        </w:rPr>
        <w:t>6</w:t>
      </w:r>
      <w:r w:rsidR="00E739CB" w:rsidRPr="0078325F">
        <w:rPr>
          <w:rFonts w:ascii="Times New Roman" w:hAnsi="Times New Roman" w:cs="Times New Roman"/>
        </w:rPr>
        <w:t xml:space="preserve">. </w:t>
      </w:r>
      <w:r w:rsidR="00D40AC2">
        <w:rPr>
          <w:rFonts w:ascii="Times New Roman" w:hAnsi="Times New Roman" w:cs="Times New Roman"/>
        </w:rPr>
        <w:t>B</w:t>
      </w:r>
      <w:r w:rsidR="007A2007">
        <w:rPr>
          <w:rFonts w:ascii="Times New Roman" w:hAnsi="Times New Roman" w:cs="Times New Roman"/>
        </w:rPr>
        <w:t xml:space="preserve">ASEL Accord suggests that the exceptions be lower than </w:t>
      </w:r>
      <w:r w:rsidR="00A019D4">
        <w:rPr>
          <w:rFonts w:ascii="Times New Roman" w:hAnsi="Times New Roman" w:cs="Times New Roman"/>
        </w:rPr>
        <w:t>five</w:t>
      </w:r>
      <w:r w:rsidR="007A2007">
        <w:rPr>
          <w:rFonts w:ascii="Times New Roman" w:hAnsi="Times New Roman" w:cs="Times New Roman"/>
        </w:rPr>
        <w:t xml:space="preserve"> </w:t>
      </w:r>
      <w:r w:rsidR="003C1882">
        <w:rPr>
          <w:rFonts w:ascii="Times New Roman" w:hAnsi="Times New Roman" w:cs="Times New Roman"/>
        </w:rPr>
        <w:t xml:space="preserve">which indicates a Green zone, </w:t>
      </w:r>
      <w:r w:rsidR="007A2007">
        <w:rPr>
          <w:rFonts w:ascii="Times New Roman" w:hAnsi="Times New Roman" w:cs="Times New Roman"/>
        </w:rPr>
        <w:t xml:space="preserve">and thus there will not be punishment for the </w:t>
      </w:r>
      <w:r w:rsidR="003C1882">
        <w:rPr>
          <w:rFonts w:ascii="Times New Roman" w:hAnsi="Times New Roman" w:cs="Times New Roman"/>
        </w:rPr>
        <w:t xml:space="preserve">capital requirement. </w:t>
      </w:r>
    </w:p>
    <w:p w14:paraId="26FFD014" w14:textId="73DBEF5B" w:rsidR="004C60BB" w:rsidRDefault="00D15565" w:rsidP="00D15565">
      <w:pPr>
        <w:spacing w:line="276" w:lineRule="auto"/>
        <w:rPr>
          <w:rFonts w:ascii="Times New Roman" w:hAnsi="Times New Roman" w:cs="Times New Roman"/>
        </w:rPr>
      </w:pPr>
      <w:r w:rsidRPr="0078325F">
        <w:rPr>
          <w:rFonts w:ascii="Times New Roman" w:hAnsi="Times New Roman" w:cs="Times New Roman"/>
        </w:rPr>
        <w:t>Moreover</w:t>
      </w:r>
      <w:r w:rsidR="00E739CB" w:rsidRPr="0078325F">
        <w:rPr>
          <w:rFonts w:ascii="Times New Roman" w:hAnsi="Times New Roman" w:cs="Times New Roman"/>
        </w:rPr>
        <w:t>, F</w:t>
      </w:r>
      <w:r w:rsidR="00714881">
        <w:rPr>
          <w:rFonts w:ascii="Times New Roman" w:hAnsi="Times New Roman" w:cs="Times New Roman"/>
        </w:rPr>
        <w:t>undamental</w:t>
      </w:r>
      <w:r w:rsidR="00E739CB" w:rsidRPr="0078325F">
        <w:rPr>
          <w:rFonts w:ascii="Times New Roman" w:hAnsi="Times New Roman" w:cs="Times New Roman"/>
        </w:rPr>
        <w:t xml:space="preserve"> Re</w:t>
      </w:r>
      <w:r w:rsidR="00714881">
        <w:rPr>
          <w:rFonts w:ascii="Times New Roman" w:hAnsi="Times New Roman" w:cs="Times New Roman"/>
        </w:rPr>
        <w:t>view</w:t>
      </w:r>
      <w:r w:rsidR="00E739CB" w:rsidRPr="0078325F">
        <w:rPr>
          <w:rFonts w:ascii="Times New Roman" w:hAnsi="Times New Roman" w:cs="Times New Roman"/>
        </w:rPr>
        <w:t xml:space="preserve"> </w:t>
      </w:r>
      <w:r w:rsidR="00714881">
        <w:rPr>
          <w:rFonts w:ascii="Times New Roman" w:hAnsi="Times New Roman" w:cs="Times New Roman"/>
        </w:rPr>
        <w:t xml:space="preserve">of </w:t>
      </w:r>
      <w:r w:rsidR="00E739CB" w:rsidRPr="0078325F">
        <w:rPr>
          <w:rFonts w:ascii="Times New Roman" w:hAnsi="Times New Roman" w:cs="Times New Roman"/>
        </w:rPr>
        <w:t xml:space="preserve">Trading Book </w:t>
      </w:r>
      <w:r w:rsidR="00C07D53" w:rsidRPr="0078325F">
        <w:rPr>
          <w:rFonts w:ascii="Times New Roman" w:hAnsi="Times New Roman" w:cs="Times New Roman"/>
        </w:rPr>
        <w:t xml:space="preserve">(FRTB) suggests that </w:t>
      </w:r>
      <w:r w:rsidR="00794EC9" w:rsidRPr="0078325F">
        <w:rPr>
          <w:rFonts w:ascii="Times New Roman" w:hAnsi="Times New Roman" w:cs="Times New Roman"/>
        </w:rPr>
        <w:t xml:space="preserve">the model will be rejected if the exception of 12 months over 99% </w:t>
      </w:r>
      <w:proofErr w:type="spellStart"/>
      <w:r w:rsidR="00794EC9" w:rsidRPr="0078325F">
        <w:rPr>
          <w:rFonts w:ascii="Times New Roman" w:hAnsi="Times New Roman" w:cs="Times New Roman"/>
        </w:rPr>
        <w:t>VaR</w:t>
      </w:r>
      <w:proofErr w:type="spellEnd"/>
      <w:r w:rsidR="00794EC9" w:rsidRPr="0078325F">
        <w:rPr>
          <w:rFonts w:ascii="Times New Roman" w:hAnsi="Times New Roman" w:cs="Times New Roman"/>
        </w:rPr>
        <w:t xml:space="preserve"> is more than </w:t>
      </w:r>
      <w:r w:rsidR="003D7147" w:rsidRPr="0078325F">
        <w:rPr>
          <w:rFonts w:ascii="Times New Roman" w:hAnsi="Times New Roman" w:cs="Times New Roman"/>
        </w:rPr>
        <w:t>12 times.</w:t>
      </w:r>
      <w:r w:rsidR="008D3BC6">
        <w:rPr>
          <w:rFonts w:ascii="Times New Roman" w:hAnsi="Times New Roman" w:cs="Times New Roman"/>
        </w:rPr>
        <w:t xml:space="preserve"> </w:t>
      </w:r>
    </w:p>
    <w:p w14:paraId="479EBAA3" w14:textId="08189CB5" w:rsidR="008D3BC6" w:rsidRDefault="008D3BC6" w:rsidP="008D3BC6">
      <w:pPr>
        <w:pStyle w:val="Heading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" w:name="_Toc2695557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Conclusion</w:t>
      </w:r>
      <w:bookmarkEnd w:id="19"/>
    </w:p>
    <w:p w14:paraId="6B3B03F7" w14:textId="13BDF66E" w:rsidR="00DF797D" w:rsidRDefault="00DF797D" w:rsidP="00A056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model has one of the most disadvantages </w:t>
      </w:r>
      <w:r w:rsidR="007E5F88">
        <w:rPr>
          <w:rFonts w:ascii="Times New Roman" w:hAnsi="Times New Roman" w:cs="Times New Roman"/>
        </w:rPr>
        <w:t xml:space="preserve">in an extreme case where there </w:t>
      </w:r>
      <w:r w:rsidR="00A65995">
        <w:rPr>
          <w:rFonts w:ascii="Times New Roman" w:hAnsi="Times New Roman" w:cs="Times New Roman"/>
        </w:rPr>
        <w:t xml:space="preserve">are only options in the model. </w:t>
      </w:r>
      <w:r w:rsidR="00D76FF9">
        <w:rPr>
          <w:rFonts w:ascii="Times New Roman" w:hAnsi="Times New Roman" w:cs="Times New Roman"/>
        </w:rPr>
        <w:t>Monte Carlo simulation simpl</w:t>
      </w:r>
      <w:r w:rsidR="00A36636">
        <w:rPr>
          <w:rFonts w:ascii="Times New Roman" w:hAnsi="Times New Roman" w:cs="Times New Roman"/>
        </w:rPr>
        <w:t xml:space="preserve">ifies the case by considering the portfolio </w:t>
      </w:r>
      <w:proofErr w:type="gramStart"/>
      <w:r w:rsidR="00A36636">
        <w:rPr>
          <w:rFonts w:ascii="Times New Roman" w:hAnsi="Times New Roman" w:cs="Times New Roman"/>
        </w:rPr>
        <w:t>as a whole to</w:t>
      </w:r>
      <w:proofErr w:type="gramEnd"/>
      <w:r w:rsidR="00A36636">
        <w:rPr>
          <w:rFonts w:ascii="Times New Roman" w:hAnsi="Times New Roman" w:cs="Times New Roman"/>
        </w:rPr>
        <w:t xml:space="preserve"> generate a GBM process. Nonetheless,</w:t>
      </w:r>
      <w:r w:rsidR="0054165F">
        <w:rPr>
          <w:rFonts w:ascii="Times New Roman" w:hAnsi="Times New Roman" w:cs="Times New Roman"/>
        </w:rPr>
        <w:t xml:space="preserve"> it is not the</w:t>
      </w:r>
      <w:r w:rsidR="00A36636">
        <w:rPr>
          <w:rFonts w:ascii="Times New Roman" w:hAnsi="Times New Roman" w:cs="Times New Roman"/>
        </w:rPr>
        <w:t xml:space="preserve"> Option</w:t>
      </w:r>
      <w:r w:rsidR="0054165F">
        <w:rPr>
          <w:rFonts w:ascii="Times New Roman" w:hAnsi="Times New Roman" w:cs="Times New Roman"/>
        </w:rPr>
        <w:t xml:space="preserve"> but the </w:t>
      </w:r>
      <w:r w:rsidR="00180B5C">
        <w:rPr>
          <w:rFonts w:ascii="Times New Roman" w:hAnsi="Times New Roman" w:cs="Times New Roman"/>
        </w:rPr>
        <w:t xml:space="preserve">Underlying stock that </w:t>
      </w:r>
      <w:r w:rsidR="0054165F">
        <w:rPr>
          <w:rFonts w:ascii="Times New Roman" w:hAnsi="Times New Roman" w:cs="Times New Roman"/>
        </w:rPr>
        <w:t>follow</w:t>
      </w:r>
      <w:r w:rsidR="00180B5C">
        <w:rPr>
          <w:rFonts w:ascii="Times New Roman" w:hAnsi="Times New Roman" w:cs="Times New Roman"/>
        </w:rPr>
        <w:t>s</w:t>
      </w:r>
      <w:r w:rsidR="0054165F">
        <w:rPr>
          <w:rFonts w:ascii="Times New Roman" w:hAnsi="Times New Roman" w:cs="Times New Roman"/>
        </w:rPr>
        <w:t xml:space="preserve"> a</w:t>
      </w:r>
      <w:r w:rsidR="00180B5C">
        <w:rPr>
          <w:rFonts w:ascii="Times New Roman" w:hAnsi="Times New Roman" w:cs="Times New Roman"/>
        </w:rPr>
        <w:t xml:space="preserve"> GBM process</w:t>
      </w:r>
      <w:r w:rsidR="00D70A9D">
        <w:rPr>
          <w:rFonts w:ascii="Times New Roman" w:hAnsi="Times New Roman" w:cs="Times New Roman"/>
        </w:rPr>
        <w:t xml:space="preserve">, as a result of which the risk may overwhelmingly underestimated. </w:t>
      </w:r>
    </w:p>
    <w:p w14:paraId="4E0C37E5" w14:textId="061192D7" w:rsidR="00095AB2" w:rsidRDefault="00F6475D" w:rsidP="00A056AD">
      <w:pPr>
        <w:spacing w:line="276" w:lineRule="auto"/>
        <w:rPr>
          <w:rFonts w:ascii="Times New Roman" w:hAnsi="Times New Roman" w:cs="Times New Roman"/>
        </w:rPr>
      </w:pPr>
      <w:r w:rsidRPr="00C3313D">
        <w:rPr>
          <w:rFonts w:ascii="Times New Roman" w:hAnsi="Times New Roman" w:cs="Times New Roman"/>
        </w:rPr>
        <w:lastRenderedPageBreak/>
        <w:t xml:space="preserve">This model has the weakness where it may underestimate the correlation if the </w:t>
      </w:r>
      <w:r w:rsidR="00EE564A" w:rsidRPr="00C3313D">
        <w:rPr>
          <w:rFonts w:ascii="Times New Roman" w:hAnsi="Times New Roman" w:cs="Times New Roman"/>
        </w:rPr>
        <w:t xml:space="preserve">worse case scenario </w:t>
      </w:r>
      <w:r w:rsidR="00C3313D" w:rsidRPr="00C3313D">
        <w:rPr>
          <w:rFonts w:ascii="Times New Roman" w:hAnsi="Times New Roman" w:cs="Times New Roman"/>
        </w:rPr>
        <w:t xml:space="preserve">recurs. </w:t>
      </w:r>
      <w:r w:rsidR="00E77E8E">
        <w:rPr>
          <w:rFonts w:ascii="Times New Roman" w:hAnsi="Times New Roman" w:cs="Times New Roman"/>
        </w:rPr>
        <w:t xml:space="preserve">Therefore, a stress testing must be conducted </w:t>
      </w:r>
      <w:r w:rsidR="006616D3">
        <w:rPr>
          <w:rFonts w:ascii="Times New Roman" w:hAnsi="Times New Roman" w:cs="Times New Roman"/>
        </w:rPr>
        <w:t xml:space="preserve">choosing </w:t>
      </w:r>
      <w:r w:rsidR="00294087">
        <w:rPr>
          <w:rFonts w:ascii="Times New Roman" w:hAnsi="Times New Roman" w:cs="Times New Roman"/>
        </w:rPr>
        <w:t xml:space="preserve">according to Dodd-Frank Act Stress Testing (DFAST) scenarios to simulate a worse case as to determine the level of </w:t>
      </w:r>
      <w:proofErr w:type="spellStart"/>
      <w:r w:rsidR="00294087">
        <w:rPr>
          <w:rFonts w:ascii="Times New Roman" w:hAnsi="Times New Roman" w:cs="Times New Roman"/>
        </w:rPr>
        <w:t>VaR.</w:t>
      </w:r>
      <w:proofErr w:type="spellEnd"/>
      <w:r w:rsidR="00294087">
        <w:rPr>
          <w:rFonts w:ascii="Times New Roman" w:hAnsi="Times New Roman" w:cs="Times New Roman"/>
        </w:rPr>
        <w:t xml:space="preserve">  </w:t>
      </w:r>
    </w:p>
    <w:p w14:paraId="3852922B" w14:textId="3FB97E94" w:rsidR="00D2432B" w:rsidRDefault="00D2432B" w:rsidP="00D2432B">
      <w:pPr>
        <w:pStyle w:val="Heading1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" w:name="_Toc26955580"/>
      <w:r w:rsidRPr="00D2432B">
        <w:rPr>
          <w:rFonts w:ascii="Times New Roman" w:hAnsi="Times New Roman" w:cs="Times New Roman"/>
          <w:b/>
          <w:bCs/>
          <w:color w:val="auto"/>
          <w:sz w:val="22"/>
          <w:szCs w:val="22"/>
        </w:rPr>
        <w:t>Bibliography</w:t>
      </w:r>
      <w:bookmarkEnd w:id="20"/>
    </w:p>
    <w:p w14:paraId="4A39D147" w14:textId="08CEDDD0" w:rsidR="00CB479B" w:rsidRPr="002002D5" w:rsidRDefault="00474386" w:rsidP="002002D5">
      <w:pPr>
        <w:spacing w:line="276" w:lineRule="auto"/>
        <w:rPr>
          <w:rFonts w:ascii="Times New Roman" w:hAnsi="Times New Roman" w:cs="Times New Roman"/>
        </w:rPr>
      </w:pPr>
      <w:r w:rsidRPr="002002D5">
        <w:rPr>
          <w:rFonts w:ascii="Times New Roman" w:hAnsi="Times New Roman" w:cs="Times New Roman"/>
        </w:rPr>
        <w:t>Black, F.</w:t>
      </w:r>
      <w:r w:rsidR="00E44CEF" w:rsidRPr="002002D5">
        <w:rPr>
          <w:rFonts w:ascii="Times New Roman" w:hAnsi="Times New Roman" w:cs="Times New Roman"/>
        </w:rPr>
        <w:t xml:space="preserve">, &amp; </w:t>
      </w:r>
      <w:r w:rsidR="00F764D8" w:rsidRPr="002002D5">
        <w:rPr>
          <w:rFonts w:ascii="Times New Roman" w:hAnsi="Times New Roman" w:cs="Times New Roman"/>
        </w:rPr>
        <w:t>Scholes, M.</w:t>
      </w:r>
      <w:r w:rsidR="00DF1E55" w:rsidRPr="002002D5">
        <w:rPr>
          <w:rFonts w:ascii="Times New Roman" w:hAnsi="Times New Roman" w:cs="Times New Roman"/>
        </w:rPr>
        <w:t xml:space="preserve"> </w:t>
      </w:r>
      <w:r w:rsidR="00047907" w:rsidRPr="002002D5">
        <w:rPr>
          <w:rFonts w:ascii="Times New Roman" w:hAnsi="Times New Roman" w:cs="Times New Roman"/>
        </w:rPr>
        <w:t>(</w:t>
      </w:r>
      <w:r w:rsidR="002C3496" w:rsidRPr="002002D5">
        <w:rPr>
          <w:rFonts w:ascii="Times New Roman" w:hAnsi="Times New Roman" w:cs="Times New Roman"/>
        </w:rPr>
        <w:t>May-</w:t>
      </w:r>
      <w:proofErr w:type="gramStart"/>
      <w:r w:rsidR="00DA6B00" w:rsidRPr="002002D5">
        <w:rPr>
          <w:rFonts w:ascii="Times New Roman" w:hAnsi="Times New Roman" w:cs="Times New Roman"/>
        </w:rPr>
        <w:t>Jun</w:t>
      </w:r>
      <w:r w:rsidR="00714DA7" w:rsidRPr="002002D5">
        <w:rPr>
          <w:rFonts w:ascii="Times New Roman" w:hAnsi="Times New Roman" w:cs="Times New Roman"/>
        </w:rPr>
        <w:t>e,</w:t>
      </w:r>
      <w:proofErr w:type="gramEnd"/>
      <w:r w:rsidR="00DA6B00" w:rsidRPr="002002D5">
        <w:rPr>
          <w:rFonts w:ascii="Times New Roman" w:hAnsi="Times New Roman" w:cs="Times New Roman"/>
        </w:rPr>
        <w:t xml:space="preserve"> 1973</w:t>
      </w:r>
      <w:r w:rsidR="00047907" w:rsidRPr="002002D5">
        <w:rPr>
          <w:rFonts w:ascii="Times New Roman" w:hAnsi="Times New Roman" w:cs="Times New Roman"/>
        </w:rPr>
        <w:t>)</w:t>
      </w:r>
      <w:r w:rsidR="00714DA7" w:rsidRPr="002002D5">
        <w:rPr>
          <w:rFonts w:ascii="Times New Roman" w:hAnsi="Times New Roman" w:cs="Times New Roman"/>
        </w:rPr>
        <w:t xml:space="preserve">. </w:t>
      </w:r>
      <w:r w:rsidR="003A4570" w:rsidRPr="002002D5">
        <w:rPr>
          <w:rFonts w:ascii="Times New Roman" w:hAnsi="Times New Roman" w:cs="Times New Roman"/>
        </w:rPr>
        <w:t>The Pricing of Options and Corp</w:t>
      </w:r>
      <w:bookmarkStart w:id="21" w:name="_GoBack"/>
      <w:bookmarkEnd w:id="21"/>
      <w:r w:rsidR="003A4570" w:rsidRPr="002002D5">
        <w:rPr>
          <w:rFonts w:ascii="Times New Roman" w:hAnsi="Times New Roman" w:cs="Times New Roman"/>
        </w:rPr>
        <w:t xml:space="preserve">orate Liabilities. </w:t>
      </w:r>
      <w:r w:rsidR="008B457F" w:rsidRPr="002002D5">
        <w:rPr>
          <w:rFonts w:ascii="Times New Roman" w:hAnsi="Times New Roman" w:cs="Times New Roman"/>
          <w:i/>
          <w:iCs/>
        </w:rPr>
        <w:t>The Journal of Political Economics</w:t>
      </w:r>
      <w:r w:rsidR="00865D48" w:rsidRPr="002002D5">
        <w:rPr>
          <w:rFonts w:ascii="Times New Roman" w:hAnsi="Times New Roman" w:cs="Times New Roman"/>
        </w:rPr>
        <w:t xml:space="preserve">, </w:t>
      </w:r>
      <w:r w:rsidR="002F1E62" w:rsidRPr="002002D5">
        <w:rPr>
          <w:rFonts w:ascii="Times New Roman" w:hAnsi="Times New Roman" w:cs="Times New Roman"/>
          <w:i/>
          <w:iCs/>
        </w:rPr>
        <w:t>81</w:t>
      </w:r>
      <w:r w:rsidR="002F1E62" w:rsidRPr="002002D5">
        <w:rPr>
          <w:rFonts w:ascii="Times New Roman" w:hAnsi="Times New Roman" w:cs="Times New Roman"/>
        </w:rPr>
        <w:t>(3)</w:t>
      </w:r>
      <w:r w:rsidR="00996481" w:rsidRPr="002002D5">
        <w:rPr>
          <w:rFonts w:ascii="Times New Roman" w:hAnsi="Times New Roman" w:cs="Times New Roman"/>
        </w:rPr>
        <w:t>, 637-654</w:t>
      </w:r>
      <w:r w:rsidR="00783BC4" w:rsidRPr="002002D5">
        <w:rPr>
          <w:rFonts w:ascii="Times New Roman" w:hAnsi="Times New Roman" w:cs="Times New Roman"/>
        </w:rPr>
        <w:t>. Retrieved from</w:t>
      </w:r>
      <w:r w:rsidR="002002D5" w:rsidRPr="002002D5">
        <w:rPr>
          <w:rFonts w:ascii="Times New Roman" w:hAnsi="Times New Roman" w:cs="Times New Roman"/>
        </w:rPr>
        <w:t xml:space="preserve"> </w:t>
      </w:r>
      <w:hyperlink r:id="rId12" w:history="1">
        <w:r w:rsidR="002002D5" w:rsidRPr="002002D5">
          <w:rPr>
            <w:rStyle w:val="Hyperlink"/>
            <w:rFonts w:ascii="Times New Roman" w:hAnsi="Times New Roman" w:cs="Times New Roman"/>
          </w:rPr>
          <w:t>https://www.cs.princeton.edu/courses/archive/fall09/cos323/papers/black_scholes73.pdf</w:t>
        </w:r>
      </w:hyperlink>
    </w:p>
    <w:p w14:paraId="7E3FF2F4" w14:textId="2B3BADB6" w:rsidR="00D2432B" w:rsidRPr="002002D5" w:rsidRDefault="004128A4" w:rsidP="002002D5">
      <w:pPr>
        <w:spacing w:line="276" w:lineRule="auto"/>
        <w:rPr>
          <w:rFonts w:ascii="Times New Roman" w:hAnsi="Times New Roman" w:cs="Times New Roman"/>
        </w:rPr>
      </w:pPr>
      <w:r w:rsidRPr="002002D5">
        <w:rPr>
          <w:rFonts w:ascii="Times New Roman" w:hAnsi="Times New Roman" w:cs="Times New Roman"/>
        </w:rPr>
        <w:t>B</w:t>
      </w:r>
      <w:r w:rsidR="006B0ADB" w:rsidRPr="002002D5">
        <w:rPr>
          <w:rFonts w:ascii="Times New Roman" w:hAnsi="Times New Roman" w:cs="Times New Roman"/>
        </w:rPr>
        <w:t xml:space="preserve">asel </w:t>
      </w:r>
      <w:r w:rsidRPr="002002D5">
        <w:rPr>
          <w:rFonts w:ascii="Times New Roman" w:hAnsi="Times New Roman" w:cs="Times New Roman"/>
        </w:rPr>
        <w:t>C</w:t>
      </w:r>
      <w:r w:rsidR="006B0ADB" w:rsidRPr="002002D5">
        <w:rPr>
          <w:rFonts w:ascii="Times New Roman" w:hAnsi="Times New Roman" w:cs="Times New Roman"/>
        </w:rPr>
        <w:t xml:space="preserve">ommittee on </w:t>
      </w:r>
      <w:r w:rsidRPr="002002D5">
        <w:rPr>
          <w:rFonts w:ascii="Times New Roman" w:hAnsi="Times New Roman" w:cs="Times New Roman"/>
        </w:rPr>
        <w:t>B</w:t>
      </w:r>
      <w:r w:rsidR="006B0ADB" w:rsidRPr="002002D5">
        <w:rPr>
          <w:rFonts w:ascii="Times New Roman" w:hAnsi="Times New Roman" w:cs="Times New Roman"/>
        </w:rPr>
        <w:t xml:space="preserve">anking </w:t>
      </w:r>
      <w:r w:rsidRPr="002002D5">
        <w:rPr>
          <w:rFonts w:ascii="Times New Roman" w:hAnsi="Times New Roman" w:cs="Times New Roman"/>
        </w:rPr>
        <w:t>S</w:t>
      </w:r>
      <w:r w:rsidR="006B0ADB" w:rsidRPr="002002D5">
        <w:rPr>
          <w:rFonts w:ascii="Times New Roman" w:hAnsi="Times New Roman" w:cs="Times New Roman"/>
        </w:rPr>
        <w:t>upervision</w:t>
      </w:r>
      <w:r w:rsidRPr="002002D5">
        <w:rPr>
          <w:rFonts w:ascii="Times New Roman" w:hAnsi="Times New Roman" w:cs="Times New Roman"/>
        </w:rPr>
        <w:t xml:space="preserve">. </w:t>
      </w:r>
      <w:r w:rsidR="00E43D6B" w:rsidRPr="002002D5">
        <w:rPr>
          <w:rFonts w:ascii="Times New Roman" w:hAnsi="Times New Roman" w:cs="Times New Roman"/>
          <w:i/>
          <w:iCs/>
        </w:rPr>
        <w:t xml:space="preserve">BASEL III: </w:t>
      </w:r>
      <w:proofErr w:type="spellStart"/>
      <w:r w:rsidR="00E43D6B" w:rsidRPr="002002D5">
        <w:rPr>
          <w:rFonts w:ascii="Times New Roman" w:hAnsi="Times New Roman" w:cs="Times New Roman"/>
          <w:i/>
          <w:iCs/>
        </w:rPr>
        <w:t>Finalising</w:t>
      </w:r>
      <w:proofErr w:type="spellEnd"/>
      <w:r w:rsidR="00E43D6B" w:rsidRPr="002002D5">
        <w:rPr>
          <w:rFonts w:ascii="Times New Roman" w:hAnsi="Times New Roman" w:cs="Times New Roman"/>
          <w:i/>
          <w:iCs/>
        </w:rPr>
        <w:t xml:space="preserve"> post-crisis Reforms</w:t>
      </w:r>
      <w:r w:rsidR="003F2C9A" w:rsidRPr="002002D5">
        <w:rPr>
          <w:rFonts w:ascii="Times New Roman" w:hAnsi="Times New Roman" w:cs="Times New Roman"/>
        </w:rPr>
        <w:t xml:space="preserve">. </w:t>
      </w:r>
      <w:r w:rsidR="00C27F83" w:rsidRPr="002002D5">
        <w:rPr>
          <w:rFonts w:ascii="Times New Roman" w:hAnsi="Times New Roman" w:cs="Times New Roman"/>
        </w:rPr>
        <w:t>Dec</w:t>
      </w:r>
      <w:r w:rsidR="001C5E03" w:rsidRPr="002002D5">
        <w:rPr>
          <w:rFonts w:ascii="Times New Roman" w:hAnsi="Times New Roman" w:cs="Times New Roman"/>
        </w:rPr>
        <w:t xml:space="preserve"> 7</w:t>
      </w:r>
      <w:r w:rsidR="001C5E03" w:rsidRPr="002002D5">
        <w:rPr>
          <w:rFonts w:ascii="Times New Roman" w:hAnsi="Times New Roman" w:cs="Times New Roman"/>
          <w:vertAlign w:val="superscript"/>
        </w:rPr>
        <w:t>th</w:t>
      </w:r>
      <w:r w:rsidR="001C5E03" w:rsidRPr="002002D5">
        <w:rPr>
          <w:rFonts w:ascii="Times New Roman" w:hAnsi="Times New Roman" w:cs="Times New Roman"/>
        </w:rPr>
        <w:t xml:space="preserve">, 2017. </w:t>
      </w:r>
      <w:r w:rsidR="002F4618" w:rsidRPr="002002D5">
        <w:rPr>
          <w:rFonts w:ascii="Times New Roman" w:hAnsi="Times New Roman" w:cs="Times New Roman"/>
        </w:rPr>
        <w:t>Retrieved from</w:t>
      </w:r>
      <w:r w:rsidR="00F40EF4" w:rsidRPr="002002D5">
        <w:rPr>
          <w:rFonts w:ascii="Times New Roman" w:hAnsi="Times New Roman" w:cs="Times New Roman"/>
        </w:rPr>
        <w:t xml:space="preserve">: </w:t>
      </w:r>
      <w:hyperlink r:id="rId13" w:history="1">
        <w:r w:rsidR="00746D27" w:rsidRPr="002002D5">
          <w:rPr>
            <w:rStyle w:val="Hyperlink"/>
            <w:rFonts w:ascii="Times New Roman" w:hAnsi="Times New Roman" w:cs="Times New Roman"/>
          </w:rPr>
          <w:t>https://www.bis.org/bcbs/publ/d424.pdf</w:t>
        </w:r>
      </w:hyperlink>
    </w:p>
    <w:p w14:paraId="530A71D5" w14:textId="2C7ABA9B" w:rsidR="00746D27" w:rsidRPr="002002D5" w:rsidRDefault="0027705A" w:rsidP="002002D5">
      <w:pPr>
        <w:spacing w:line="276" w:lineRule="auto"/>
        <w:rPr>
          <w:rFonts w:ascii="Times New Roman" w:hAnsi="Times New Roman" w:cs="Times New Roman"/>
        </w:rPr>
      </w:pPr>
      <w:r w:rsidRPr="002002D5">
        <w:rPr>
          <w:rFonts w:ascii="Times New Roman" w:hAnsi="Times New Roman" w:cs="Times New Roman"/>
        </w:rPr>
        <w:t xml:space="preserve">Basel Committee on Banking Supervision. </w:t>
      </w:r>
      <w:r w:rsidR="00135AB5" w:rsidRPr="002002D5">
        <w:rPr>
          <w:rFonts w:ascii="Times New Roman" w:hAnsi="Times New Roman" w:cs="Times New Roman"/>
          <w:i/>
          <w:iCs/>
        </w:rPr>
        <w:t xml:space="preserve">Internal Models approach: </w:t>
      </w:r>
      <w:proofErr w:type="spellStart"/>
      <w:r w:rsidR="00135AB5" w:rsidRPr="002002D5">
        <w:rPr>
          <w:rFonts w:ascii="Times New Roman" w:hAnsi="Times New Roman" w:cs="Times New Roman"/>
          <w:i/>
          <w:iCs/>
        </w:rPr>
        <w:t>backtesting</w:t>
      </w:r>
      <w:proofErr w:type="spellEnd"/>
      <w:r w:rsidR="00135AB5" w:rsidRPr="002002D5">
        <w:rPr>
          <w:rFonts w:ascii="Times New Roman" w:hAnsi="Times New Roman" w:cs="Times New Roman"/>
          <w:i/>
          <w:iCs/>
        </w:rPr>
        <w:t xml:space="preserve"> and </w:t>
      </w:r>
      <w:r w:rsidR="007853E4" w:rsidRPr="002002D5">
        <w:rPr>
          <w:rFonts w:ascii="Times New Roman" w:hAnsi="Times New Roman" w:cs="Times New Roman"/>
          <w:i/>
          <w:iCs/>
        </w:rPr>
        <w:t>P&amp;L attribution test requirements</w:t>
      </w:r>
      <w:r w:rsidRPr="002002D5">
        <w:rPr>
          <w:rFonts w:ascii="Times New Roman" w:hAnsi="Times New Roman" w:cs="Times New Roman"/>
        </w:rPr>
        <w:t xml:space="preserve">. </w:t>
      </w:r>
      <w:r w:rsidR="001E06F1" w:rsidRPr="002002D5">
        <w:rPr>
          <w:rFonts w:ascii="Times New Roman" w:hAnsi="Times New Roman" w:cs="Times New Roman"/>
        </w:rPr>
        <w:t>Effective as of Jan</w:t>
      </w:r>
      <w:r w:rsidRPr="002002D5">
        <w:rPr>
          <w:rFonts w:ascii="Times New Roman" w:hAnsi="Times New Roman" w:cs="Times New Roman"/>
        </w:rPr>
        <w:t xml:space="preserve"> </w:t>
      </w:r>
      <w:r w:rsidR="001E06F1" w:rsidRPr="002002D5">
        <w:rPr>
          <w:rFonts w:ascii="Times New Roman" w:hAnsi="Times New Roman" w:cs="Times New Roman"/>
        </w:rPr>
        <w:t>1</w:t>
      </w:r>
      <w:r w:rsidR="001E06F1" w:rsidRPr="002002D5">
        <w:rPr>
          <w:rFonts w:ascii="Times New Roman" w:hAnsi="Times New Roman" w:cs="Times New Roman"/>
          <w:vertAlign w:val="superscript"/>
        </w:rPr>
        <w:t>st</w:t>
      </w:r>
      <w:r w:rsidRPr="002002D5">
        <w:rPr>
          <w:rFonts w:ascii="Times New Roman" w:hAnsi="Times New Roman" w:cs="Times New Roman"/>
        </w:rPr>
        <w:t>, 20</w:t>
      </w:r>
      <w:r w:rsidR="001E06F1" w:rsidRPr="002002D5">
        <w:rPr>
          <w:rFonts w:ascii="Times New Roman" w:hAnsi="Times New Roman" w:cs="Times New Roman"/>
        </w:rPr>
        <w:t>22</w:t>
      </w:r>
      <w:r w:rsidRPr="002002D5">
        <w:rPr>
          <w:rFonts w:ascii="Times New Roman" w:hAnsi="Times New Roman" w:cs="Times New Roman"/>
        </w:rPr>
        <w:t xml:space="preserve">. </w:t>
      </w:r>
      <w:r w:rsidR="002F4618" w:rsidRPr="002002D5">
        <w:rPr>
          <w:rFonts w:ascii="Times New Roman" w:hAnsi="Times New Roman" w:cs="Times New Roman"/>
        </w:rPr>
        <w:t>Retrieved from</w:t>
      </w:r>
      <w:r w:rsidRPr="002002D5">
        <w:rPr>
          <w:rFonts w:ascii="Times New Roman" w:hAnsi="Times New Roman" w:cs="Times New Roman"/>
        </w:rPr>
        <w:t>:</w:t>
      </w:r>
      <w:r w:rsidR="0018764A" w:rsidRPr="002002D5">
        <w:rPr>
          <w:rFonts w:ascii="Times New Roman" w:hAnsi="Times New Roman" w:cs="Times New Roman"/>
        </w:rPr>
        <w:t xml:space="preserve"> </w:t>
      </w:r>
      <w:hyperlink r:id="rId14" w:history="1">
        <w:r w:rsidR="0018764A" w:rsidRPr="002002D5">
          <w:rPr>
            <w:rStyle w:val="Hyperlink"/>
            <w:rFonts w:ascii="Times New Roman" w:hAnsi="Times New Roman" w:cs="Times New Roman"/>
          </w:rPr>
          <w:t>https://www.bis.org/basel_framework/chapter/MAR/32.htm?inforce=20220101&amp;export=pdf&amp;pdfid=15748148808778124</w:t>
        </w:r>
      </w:hyperlink>
    </w:p>
    <w:sectPr w:rsidR="00746D27" w:rsidRPr="002002D5" w:rsidSect="00B930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A9B1" w14:textId="77777777" w:rsidR="005D2907" w:rsidRDefault="005D2907" w:rsidP="00C201E1">
      <w:pPr>
        <w:spacing w:after="0" w:line="240" w:lineRule="auto"/>
      </w:pPr>
      <w:r>
        <w:separator/>
      </w:r>
    </w:p>
  </w:endnote>
  <w:endnote w:type="continuationSeparator" w:id="0">
    <w:p w14:paraId="2229C7A4" w14:textId="77777777" w:rsidR="005D2907" w:rsidRDefault="005D2907" w:rsidP="00C2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2041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423FD" w14:textId="65B137A1" w:rsidR="002248A8" w:rsidRDefault="002248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D8D596" w14:textId="77777777" w:rsidR="00C201E1" w:rsidRDefault="00C20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1481E" w14:textId="77777777" w:rsidR="005D2907" w:rsidRDefault="005D2907" w:rsidP="00C201E1">
      <w:pPr>
        <w:spacing w:after="0" w:line="240" w:lineRule="auto"/>
      </w:pPr>
      <w:r>
        <w:separator/>
      </w:r>
    </w:p>
  </w:footnote>
  <w:footnote w:type="continuationSeparator" w:id="0">
    <w:p w14:paraId="06DBF738" w14:textId="77777777" w:rsidR="005D2907" w:rsidRDefault="005D2907" w:rsidP="00C2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6C56"/>
    <w:multiLevelType w:val="hybridMultilevel"/>
    <w:tmpl w:val="BD6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265A"/>
    <w:multiLevelType w:val="hybridMultilevel"/>
    <w:tmpl w:val="F07E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D6ABF"/>
    <w:multiLevelType w:val="hybridMultilevel"/>
    <w:tmpl w:val="C6B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05A"/>
    <w:multiLevelType w:val="hybridMultilevel"/>
    <w:tmpl w:val="9184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BD4"/>
    <w:multiLevelType w:val="hybridMultilevel"/>
    <w:tmpl w:val="0332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B7CCC"/>
    <w:multiLevelType w:val="hybridMultilevel"/>
    <w:tmpl w:val="1D06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1C"/>
    <w:rsid w:val="000017E5"/>
    <w:rsid w:val="00003294"/>
    <w:rsid w:val="000043AD"/>
    <w:rsid w:val="0000693F"/>
    <w:rsid w:val="00012216"/>
    <w:rsid w:val="00013883"/>
    <w:rsid w:val="00014B23"/>
    <w:rsid w:val="00017370"/>
    <w:rsid w:val="0001782B"/>
    <w:rsid w:val="00017997"/>
    <w:rsid w:val="00020E6D"/>
    <w:rsid w:val="0002110F"/>
    <w:rsid w:val="000244E2"/>
    <w:rsid w:val="00025A6E"/>
    <w:rsid w:val="00026544"/>
    <w:rsid w:val="00026EB6"/>
    <w:rsid w:val="00030C20"/>
    <w:rsid w:val="00034801"/>
    <w:rsid w:val="0004084F"/>
    <w:rsid w:val="000435E4"/>
    <w:rsid w:val="00043F8D"/>
    <w:rsid w:val="00045E8B"/>
    <w:rsid w:val="0004690F"/>
    <w:rsid w:val="000469E6"/>
    <w:rsid w:val="00047907"/>
    <w:rsid w:val="00050AB6"/>
    <w:rsid w:val="00050FD7"/>
    <w:rsid w:val="00051288"/>
    <w:rsid w:val="00051B1C"/>
    <w:rsid w:val="000572BF"/>
    <w:rsid w:val="00063333"/>
    <w:rsid w:val="0006420C"/>
    <w:rsid w:val="00065126"/>
    <w:rsid w:val="00065A40"/>
    <w:rsid w:val="0006673A"/>
    <w:rsid w:val="00074091"/>
    <w:rsid w:val="00077BD8"/>
    <w:rsid w:val="00077FB9"/>
    <w:rsid w:val="000839CC"/>
    <w:rsid w:val="00083C1C"/>
    <w:rsid w:val="000914AE"/>
    <w:rsid w:val="00091840"/>
    <w:rsid w:val="0009196B"/>
    <w:rsid w:val="00094DE7"/>
    <w:rsid w:val="00095AB2"/>
    <w:rsid w:val="00096991"/>
    <w:rsid w:val="00097434"/>
    <w:rsid w:val="0009773C"/>
    <w:rsid w:val="000A17C4"/>
    <w:rsid w:val="000B06B3"/>
    <w:rsid w:val="000B09D3"/>
    <w:rsid w:val="000B4AEA"/>
    <w:rsid w:val="000B5CB4"/>
    <w:rsid w:val="000B5FB1"/>
    <w:rsid w:val="000C53C7"/>
    <w:rsid w:val="000C564F"/>
    <w:rsid w:val="000D26E8"/>
    <w:rsid w:val="000D347A"/>
    <w:rsid w:val="000D3F3C"/>
    <w:rsid w:val="000D4B50"/>
    <w:rsid w:val="000D72D3"/>
    <w:rsid w:val="000E0015"/>
    <w:rsid w:val="000E0784"/>
    <w:rsid w:val="000E1B20"/>
    <w:rsid w:val="000E5E6A"/>
    <w:rsid w:val="000F0DA3"/>
    <w:rsid w:val="000F16E5"/>
    <w:rsid w:val="000F4911"/>
    <w:rsid w:val="000F5E03"/>
    <w:rsid w:val="00100268"/>
    <w:rsid w:val="0010050E"/>
    <w:rsid w:val="0010555E"/>
    <w:rsid w:val="001108BB"/>
    <w:rsid w:val="00113E15"/>
    <w:rsid w:val="00115E0F"/>
    <w:rsid w:val="00116544"/>
    <w:rsid w:val="001229E0"/>
    <w:rsid w:val="001254A0"/>
    <w:rsid w:val="001260EA"/>
    <w:rsid w:val="00127303"/>
    <w:rsid w:val="00130F4F"/>
    <w:rsid w:val="001326DF"/>
    <w:rsid w:val="00134A9F"/>
    <w:rsid w:val="00135AB5"/>
    <w:rsid w:val="00135E9A"/>
    <w:rsid w:val="00136A4F"/>
    <w:rsid w:val="0014240C"/>
    <w:rsid w:val="00146362"/>
    <w:rsid w:val="00147439"/>
    <w:rsid w:val="001560B0"/>
    <w:rsid w:val="00162A64"/>
    <w:rsid w:val="00164333"/>
    <w:rsid w:val="00176330"/>
    <w:rsid w:val="00176E60"/>
    <w:rsid w:val="00180957"/>
    <w:rsid w:val="00180B5C"/>
    <w:rsid w:val="00181D73"/>
    <w:rsid w:val="00186749"/>
    <w:rsid w:val="00186B75"/>
    <w:rsid w:val="0018764A"/>
    <w:rsid w:val="0019008B"/>
    <w:rsid w:val="00190145"/>
    <w:rsid w:val="00191318"/>
    <w:rsid w:val="00192C7C"/>
    <w:rsid w:val="00194D89"/>
    <w:rsid w:val="001A0129"/>
    <w:rsid w:val="001A04FC"/>
    <w:rsid w:val="001A16A3"/>
    <w:rsid w:val="001A41C0"/>
    <w:rsid w:val="001A4DBA"/>
    <w:rsid w:val="001A7513"/>
    <w:rsid w:val="001B2827"/>
    <w:rsid w:val="001B4A3E"/>
    <w:rsid w:val="001C0830"/>
    <w:rsid w:val="001C1195"/>
    <w:rsid w:val="001C1A32"/>
    <w:rsid w:val="001C5D85"/>
    <w:rsid w:val="001C5E03"/>
    <w:rsid w:val="001D0CFD"/>
    <w:rsid w:val="001D0DED"/>
    <w:rsid w:val="001D7EBE"/>
    <w:rsid w:val="001E06F1"/>
    <w:rsid w:val="001E0ABE"/>
    <w:rsid w:val="001E1D70"/>
    <w:rsid w:val="001E218A"/>
    <w:rsid w:val="001E47C1"/>
    <w:rsid w:val="001E5AA9"/>
    <w:rsid w:val="001F220D"/>
    <w:rsid w:val="001F2557"/>
    <w:rsid w:val="001F283F"/>
    <w:rsid w:val="002002D5"/>
    <w:rsid w:val="002019D5"/>
    <w:rsid w:val="00203D97"/>
    <w:rsid w:val="00205B83"/>
    <w:rsid w:val="002106FA"/>
    <w:rsid w:val="0022298C"/>
    <w:rsid w:val="002248A8"/>
    <w:rsid w:val="00227F7C"/>
    <w:rsid w:val="00231E29"/>
    <w:rsid w:val="00233C6B"/>
    <w:rsid w:val="002349F1"/>
    <w:rsid w:val="002361E4"/>
    <w:rsid w:val="0023689E"/>
    <w:rsid w:val="00244A99"/>
    <w:rsid w:val="00245E59"/>
    <w:rsid w:val="002460FF"/>
    <w:rsid w:val="00246161"/>
    <w:rsid w:val="00250A70"/>
    <w:rsid w:val="00251126"/>
    <w:rsid w:val="00251EA5"/>
    <w:rsid w:val="00252676"/>
    <w:rsid w:val="00253D97"/>
    <w:rsid w:val="00254DFB"/>
    <w:rsid w:val="0025591C"/>
    <w:rsid w:val="00255AD5"/>
    <w:rsid w:val="002568B0"/>
    <w:rsid w:val="00256D31"/>
    <w:rsid w:val="00261E7E"/>
    <w:rsid w:val="00263A03"/>
    <w:rsid w:val="002644F6"/>
    <w:rsid w:val="002667BA"/>
    <w:rsid w:val="00272359"/>
    <w:rsid w:val="00273701"/>
    <w:rsid w:val="00276619"/>
    <w:rsid w:val="00276B50"/>
    <w:rsid w:val="0027705A"/>
    <w:rsid w:val="0028209B"/>
    <w:rsid w:val="002857D4"/>
    <w:rsid w:val="00285AF8"/>
    <w:rsid w:val="00286E7F"/>
    <w:rsid w:val="0029156D"/>
    <w:rsid w:val="00292057"/>
    <w:rsid w:val="00294087"/>
    <w:rsid w:val="00294FFD"/>
    <w:rsid w:val="00295DE6"/>
    <w:rsid w:val="002969AA"/>
    <w:rsid w:val="002A4B44"/>
    <w:rsid w:val="002A4DDD"/>
    <w:rsid w:val="002A5444"/>
    <w:rsid w:val="002A643E"/>
    <w:rsid w:val="002A7D6A"/>
    <w:rsid w:val="002B041D"/>
    <w:rsid w:val="002B377A"/>
    <w:rsid w:val="002B3DB1"/>
    <w:rsid w:val="002C3496"/>
    <w:rsid w:val="002C7C04"/>
    <w:rsid w:val="002D147D"/>
    <w:rsid w:val="002D3B0A"/>
    <w:rsid w:val="002D43C3"/>
    <w:rsid w:val="002E25A8"/>
    <w:rsid w:val="002E5020"/>
    <w:rsid w:val="002E626F"/>
    <w:rsid w:val="002F1E62"/>
    <w:rsid w:val="002F210E"/>
    <w:rsid w:val="002F240E"/>
    <w:rsid w:val="002F4618"/>
    <w:rsid w:val="002F4D2A"/>
    <w:rsid w:val="00301340"/>
    <w:rsid w:val="00301845"/>
    <w:rsid w:val="003024B8"/>
    <w:rsid w:val="00303AD5"/>
    <w:rsid w:val="003044C7"/>
    <w:rsid w:val="003140E7"/>
    <w:rsid w:val="003156E4"/>
    <w:rsid w:val="00316CF4"/>
    <w:rsid w:val="00317B72"/>
    <w:rsid w:val="00321D94"/>
    <w:rsid w:val="00321F70"/>
    <w:rsid w:val="0032205C"/>
    <w:rsid w:val="0033321C"/>
    <w:rsid w:val="00333B4E"/>
    <w:rsid w:val="00334CDF"/>
    <w:rsid w:val="00334F5E"/>
    <w:rsid w:val="00337D47"/>
    <w:rsid w:val="00341363"/>
    <w:rsid w:val="003503F1"/>
    <w:rsid w:val="00353E76"/>
    <w:rsid w:val="00354BB2"/>
    <w:rsid w:val="00355C97"/>
    <w:rsid w:val="003566EF"/>
    <w:rsid w:val="00357067"/>
    <w:rsid w:val="003654FC"/>
    <w:rsid w:val="0037236F"/>
    <w:rsid w:val="00374C4D"/>
    <w:rsid w:val="00375060"/>
    <w:rsid w:val="00377A12"/>
    <w:rsid w:val="003813BD"/>
    <w:rsid w:val="003835E3"/>
    <w:rsid w:val="00386079"/>
    <w:rsid w:val="0039092D"/>
    <w:rsid w:val="00391C41"/>
    <w:rsid w:val="003A16A0"/>
    <w:rsid w:val="003A26A9"/>
    <w:rsid w:val="003A2B04"/>
    <w:rsid w:val="003A4570"/>
    <w:rsid w:val="003A7649"/>
    <w:rsid w:val="003A7A1E"/>
    <w:rsid w:val="003B05C7"/>
    <w:rsid w:val="003B3AE2"/>
    <w:rsid w:val="003B7615"/>
    <w:rsid w:val="003C1882"/>
    <w:rsid w:val="003C40E7"/>
    <w:rsid w:val="003D4946"/>
    <w:rsid w:val="003D6691"/>
    <w:rsid w:val="003D7147"/>
    <w:rsid w:val="003D7B37"/>
    <w:rsid w:val="003D7F67"/>
    <w:rsid w:val="003E239B"/>
    <w:rsid w:val="003F2C9A"/>
    <w:rsid w:val="003F3ED4"/>
    <w:rsid w:val="003F6187"/>
    <w:rsid w:val="004025B9"/>
    <w:rsid w:val="00402D96"/>
    <w:rsid w:val="004128A4"/>
    <w:rsid w:val="00415F4C"/>
    <w:rsid w:val="0042089B"/>
    <w:rsid w:val="004217E8"/>
    <w:rsid w:val="004221F7"/>
    <w:rsid w:val="0042547B"/>
    <w:rsid w:val="0042581A"/>
    <w:rsid w:val="00425ACF"/>
    <w:rsid w:val="00425BB2"/>
    <w:rsid w:val="00427134"/>
    <w:rsid w:val="00430867"/>
    <w:rsid w:val="00431206"/>
    <w:rsid w:val="00432F90"/>
    <w:rsid w:val="00433341"/>
    <w:rsid w:val="00435ADD"/>
    <w:rsid w:val="004362CE"/>
    <w:rsid w:val="0043649E"/>
    <w:rsid w:val="0044044F"/>
    <w:rsid w:val="00440CE0"/>
    <w:rsid w:val="00442B7E"/>
    <w:rsid w:val="00446CC1"/>
    <w:rsid w:val="00452E9C"/>
    <w:rsid w:val="004574CA"/>
    <w:rsid w:val="00463378"/>
    <w:rsid w:val="00474386"/>
    <w:rsid w:val="00474C8C"/>
    <w:rsid w:val="00474F81"/>
    <w:rsid w:val="00481887"/>
    <w:rsid w:val="004852EA"/>
    <w:rsid w:val="004862EA"/>
    <w:rsid w:val="0049144B"/>
    <w:rsid w:val="004928A5"/>
    <w:rsid w:val="004A0A6C"/>
    <w:rsid w:val="004A298D"/>
    <w:rsid w:val="004A3286"/>
    <w:rsid w:val="004A3CD2"/>
    <w:rsid w:val="004A7943"/>
    <w:rsid w:val="004B1535"/>
    <w:rsid w:val="004B2A39"/>
    <w:rsid w:val="004B3790"/>
    <w:rsid w:val="004B37E1"/>
    <w:rsid w:val="004B413C"/>
    <w:rsid w:val="004B5CE9"/>
    <w:rsid w:val="004B7242"/>
    <w:rsid w:val="004C06D6"/>
    <w:rsid w:val="004C60BB"/>
    <w:rsid w:val="004D1E8C"/>
    <w:rsid w:val="004D3D4F"/>
    <w:rsid w:val="004D7B1A"/>
    <w:rsid w:val="004E319F"/>
    <w:rsid w:val="004E6BE1"/>
    <w:rsid w:val="004F2377"/>
    <w:rsid w:val="004F3DED"/>
    <w:rsid w:val="004F44F3"/>
    <w:rsid w:val="004F6B54"/>
    <w:rsid w:val="004F7668"/>
    <w:rsid w:val="00501251"/>
    <w:rsid w:val="00504BEF"/>
    <w:rsid w:val="00505B2F"/>
    <w:rsid w:val="0050619C"/>
    <w:rsid w:val="005104C7"/>
    <w:rsid w:val="00515012"/>
    <w:rsid w:val="00515299"/>
    <w:rsid w:val="00516AE9"/>
    <w:rsid w:val="00523075"/>
    <w:rsid w:val="0053005B"/>
    <w:rsid w:val="00531BD7"/>
    <w:rsid w:val="00535983"/>
    <w:rsid w:val="005408A6"/>
    <w:rsid w:val="0054165F"/>
    <w:rsid w:val="00541C81"/>
    <w:rsid w:val="005473BD"/>
    <w:rsid w:val="00554472"/>
    <w:rsid w:val="00557AC6"/>
    <w:rsid w:val="00563D2F"/>
    <w:rsid w:val="005652D2"/>
    <w:rsid w:val="00566741"/>
    <w:rsid w:val="00574D92"/>
    <w:rsid w:val="00577283"/>
    <w:rsid w:val="00582481"/>
    <w:rsid w:val="00586812"/>
    <w:rsid w:val="00586DE3"/>
    <w:rsid w:val="00587128"/>
    <w:rsid w:val="005949C3"/>
    <w:rsid w:val="00597857"/>
    <w:rsid w:val="005A12AF"/>
    <w:rsid w:val="005A1743"/>
    <w:rsid w:val="005A2508"/>
    <w:rsid w:val="005A46C1"/>
    <w:rsid w:val="005C0DE9"/>
    <w:rsid w:val="005C3AAE"/>
    <w:rsid w:val="005D0D58"/>
    <w:rsid w:val="005D0DF4"/>
    <w:rsid w:val="005D2907"/>
    <w:rsid w:val="005D7744"/>
    <w:rsid w:val="005E2CDE"/>
    <w:rsid w:val="005F0D29"/>
    <w:rsid w:val="005F44BD"/>
    <w:rsid w:val="006022E8"/>
    <w:rsid w:val="00604DD0"/>
    <w:rsid w:val="00605C0E"/>
    <w:rsid w:val="006119B3"/>
    <w:rsid w:val="006132DA"/>
    <w:rsid w:val="0061554D"/>
    <w:rsid w:val="0061739E"/>
    <w:rsid w:val="0062424E"/>
    <w:rsid w:val="00626548"/>
    <w:rsid w:val="006314AB"/>
    <w:rsid w:val="0063173C"/>
    <w:rsid w:val="00633598"/>
    <w:rsid w:val="00633FAF"/>
    <w:rsid w:val="00643615"/>
    <w:rsid w:val="00643A7D"/>
    <w:rsid w:val="00643E04"/>
    <w:rsid w:val="0065074B"/>
    <w:rsid w:val="00651824"/>
    <w:rsid w:val="006533A4"/>
    <w:rsid w:val="006533C8"/>
    <w:rsid w:val="0065346F"/>
    <w:rsid w:val="00653CCC"/>
    <w:rsid w:val="00653EA7"/>
    <w:rsid w:val="00654F9B"/>
    <w:rsid w:val="00655FD2"/>
    <w:rsid w:val="00660AAB"/>
    <w:rsid w:val="00660C04"/>
    <w:rsid w:val="006616D3"/>
    <w:rsid w:val="0067139F"/>
    <w:rsid w:val="006765C5"/>
    <w:rsid w:val="00680D8F"/>
    <w:rsid w:val="00681DD0"/>
    <w:rsid w:val="006839D7"/>
    <w:rsid w:val="00683B76"/>
    <w:rsid w:val="006919FB"/>
    <w:rsid w:val="00694811"/>
    <w:rsid w:val="006954C2"/>
    <w:rsid w:val="006A3294"/>
    <w:rsid w:val="006A40B3"/>
    <w:rsid w:val="006A47F0"/>
    <w:rsid w:val="006A497C"/>
    <w:rsid w:val="006B0ADB"/>
    <w:rsid w:val="006B449A"/>
    <w:rsid w:val="006B716B"/>
    <w:rsid w:val="006B76A7"/>
    <w:rsid w:val="006B7F4B"/>
    <w:rsid w:val="006D13B4"/>
    <w:rsid w:val="006E0A21"/>
    <w:rsid w:val="006E3062"/>
    <w:rsid w:val="006E4244"/>
    <w:rsid w:val="006E4822"/>
    <w:rsid w:val="006E6730"/>
    <w:rsid w:val="006F2013"/>
    <w:rsid w:val="006F5C38"/>
    <w:rsid w:val="00701516"/>
    <w:rsid w:val="00702B72"/>
    <w:rsid w:val="00714881"/>
    <w:rsid w:val="00714DA7"/>
    <w:rsid w:val="0072045C"/>
    <w:rsid w:val="007229F0"/>
    <w:rsid w:val="0072482E"/>
    <w:rsid w:val="0072528A"/>
    <w:rsid w:val="00727921"/>
    <w:rsid w:val="00731E0C"/>
    <w:rsid w:val="00734A87"/>
    <w:rsid w:val="00734D8F"/>
    <w:rsid w:val="00736FA5"/>
    <w:rsid w:val="007375E5"/>
    <w:rsid w:val="00740185"/>
    <w:rsid w:val="00740595"/>
    <w:rsid w:val="00742C5B"/>
    <w:rsid w:val="00743FD3"/>
    <w:rsid w:val="00746D27"/>
    <w:rsid w:val="0075256C"/>
    <w:rsid w:val="00753AC8"/>
    <w:rsid w:val="00753C90"/>
    <w:rsid w:val="0075697A"/>
    <w:rsid w:val="00757380"/>
    <w:rsid w:val="00762237"/>
    <w:rsid w:val="0077435F"/>
    <w:rsid w:val="007747C5"/>
    <w:rsid w:val="0077663B"/>
    <w:rsid w:val="00776EDE"/>
    <w:rsid w:val="0078105D"/>
    <w:rsid w:val="0078296D"/>
    <w:rsid w:val="0078325F"/>
    <w:rsid w:val="00783BC4"/>
    <w:rsid w:val="007849F0"/>
    <w:rsid w:val="007853E4"/>
    <w:rsid w:val="007857C9"/>
    <w:rsid w:val="007910A0"/>
    <w:rsid w:val="00794EC9"/>
    <w:rsid w:val="007A2007"/>
    <w:rsid w:val="007A2ADB"/>
    <w:rsid w:val="007A3934"/>
    <w:rsid w:val="007A6075"/>
    <w:rsid w:val="007B2A01"/>
    <w:rsid w:val="007B32F4"/>
    <w:rsid w:val="007B4837"/>
    <w:rsid w:val="007B777C"/>
    <w:rsid w:val="007C1BB8"/>
    <w:rsid w:val="007C60BC"/>
    <w:rsid w:val="007C633E"/>
    <w:rsid w:val="007D0426"/>
    <w:rsid w:val="007D153B"/>
    <w:rsid w:val="007D1726"/>
    <w:rsid w:val="007D2C49"/>
    <w:rsid w:val="007D669D"/>
    <w:rsid w:val="007D6803"/>
    <w:rsid w:val="007D7B1C"/>
    <w:rsid w:val="007E3FF5"/>
    <w:rsid w:val="007E5F88"/>
    <w:rsid w:val="007E6663"/>
    <w:rsid w:val="007E6D4B"/>
    <w:rsid w:val="007E7504"/>
    <w:rsid w:val="007E7D58"/>
    <w:rsid w:val="007F3A9C"/>
    <w:rsid w:val="007F58E7"/>
    <w:rsid w:val="00800461"/>
    <w:rsid w:val="008038AB"/>
    <w:rsid w:val="00810237"/>
    <w:rsid w:val="008123D4"/>
    <w:rsid w:val="00812BDD"/>
    <w:rsid w:val="00815CBA"/>
    <w:rsid w:val="00825AE8"/>
    <w:rsid w:val="00830A0E"/>
    <w:rsid w:val="00831B75"/>
    <w:rsid w:val="008366FE"/>
    <w:rsid w:val="008471D9"/>
    <w:rsid w:val="008527F1"/>
    <w:rsid w:val="008539BD"/>
    <w:rsid w:val="00853AE5"/>
    <w:rsid w:val="00854329"/>
    <w:rsid w:val="00854591"/>
    <w:rsid w:val="00855B35"/>
    <w:rsid w:val="00863F93"/>
    <w:rsid w:val="00865D48"/>
    <w:rsid w:val="00867965"/>
    <w:rsid w:val="00870DA8"/>
    <w:rsid w:val="00872F01"/>
    <w:rsid w:val="00875D4D"/>
    <w:rsid w:val="00877249"/>
    <w:rsid w:val="00881A2D"/>
    <w:rsid w:val="00882276"/>
    <w:rsid w:val="0088236A"/>
    <w:rsid w:val="0088302E"/>
    <w:rsid w:val="008848CB"/>
    <w:rsid w:val="008856CB"/>
    <w:rsid w:val="00886A08"/>
    <w:rsid w:val="00887333"/>
    <w:rsid w:val="008920DB"/>
    <w:rsid w:val="00893072"/>
    <w:rsid w:val="008A3865"/>
    <w:rsid w:val="008A6C3A"/>
    <w:rsid w:val="008B0873"/>
    <w:rsid w:val="008B2070"/>
    <w:rsid w:val="008B2BB9"/>
    <w:rsid w:val="008B4321"/>
    <w:rsid w:val="008B457F"/>
    <w:rsid w:val="008B4ECE"/>
    <w:rsid w:val="008B7E12"/>
    <w:rsid w:val="008C0E74"/>
    <w:rsid w:val="008C34E5"/>
    <w:rsid w:val="008D0866"/>
    <w:rsid w:val="008D3BC6"/>
    <w:rsid w:val="008D42A3"/>
    <w:rsid w:val="008E0EDF"/>
    <w:rsid w:val="008E119B"/>
    <w:rsid w:val="008E17DF"/>
    <w:rsid w:val="008F064F"/>
    <w:rsid w:val="008F5390"/>
    <w:rsid w:val="008F67EB"/>
    <w:rsid w:val="00901D95"/>
    <w:rsid w:val="009033AA"/>
    <w:rsid w:val="009033B8"/>
    <w:rsid w:val="00903CE2"/>
    <w:rsid w:val="00904DA7"/>
    <w:rsid w:val="00904FAD"/>
    <w:rsid w:val="00905572"/>
    <w:rsid w:val="00907535"/>
    <w:rsid w:val="009100FC"/>
    <w:rsid w:val="00911132"/>
    <w:rsid w:val="00913062"/>
    <w:rsid w:val="0091540B"/>
    <w:rsid w:val="00915853"/>
    <w:rsid w:val="0092203A"/>
    <w:rsid w:val="0092336A"/>
    <w:rsid w:val="00924C37"/>
    <w:rsid w:val="009402F4"/>
    <w:rsid w:val="00941C46"/>
    <w:rsid w:val="0094584A"/>
    <w:rsid w:val="00947F35"/>
    <w:rsid w:val="00954321"/>
    <w:rsid w:val="00956AC8"/>
    <w:rsid w:val="0096015C"/>
    <w:rsid w:val="00960F2B"/>
    <w:rsid w:val="009634A6"/>
    <w:rsid w:val="0096724F"/>
    <w:rsid w:val="00967FD4"/>
    <w:rsid w:val="00974929"/>
    <w:rsid w:val="009765C9"/>
    <w:rsid w:val="00976B4A"/>
    <w:rsid w:val="00977643"/>
    <w:rsid w:val="009815A5"/>
    <w:rsid w:val="0098236A"/>
    <w:rsid w:val="009826B4"/>
    <w:rsid w:val="00982FDE"/>
    <w:rsid w:val="0098310C"/>
    <w:rsid w:val="00983AE1"/>
    <w:rsid w:val="00984576"/>
    <w:rsid w:val="00986FAB"/>
    <w:rsid w:val="00992A06"/>
    <w:rsid w:val="009951CF"/>
    <w:rsid w:val="00996481"/>
    <w:rsid w:val="00997B71"/>
    <w:rsid w:val="009A0C4B"/>
    <w:rsid w:val="009A1391"/>
    <w:rsid w:val="009A148D"/>
    <w:rsid w:val="009A14FB"/>
    <w:rsid w:val="009A1B0B"/>
    <w:rsid w:val="009A21A1"/>
    <w:rsid w:val="009A6A75"/>
    <w:rsid w:val="009A7325"/>
    <w:rsid w:val="009B4493"/>
    <w:rsid w:val="009C03E6"/>
    <w:rsid w:val="009C24D1"/>
    <w:rsid w:val="009D477A"/>
    <w:rsid w:val="009D54D6"/>
    <w:rsid w:val="009D7774"/>
    <w:rsid w:val="009E269E"/>
    <w:rsid w:val="009E5C47"/>
    <w:rsid w:val="009E6A62"/>
    <w:rsid w:val="009F02B9"/>
    <w:rsid w:val="009F3A64"/>
    <w:rsid w:val="009F3FA4"/>
    <w:rsid w:val="009F6BB9"/>
    <w:rsid w:val="009F7832"/>
    <w:rsid w:val="009F7F54"/>
    <w:rsid w:val="00A019D4"/>
    <w:rsid w:val="00A056AD"/>
    <w:rsid w:val="00A075C1"/>
    <w:rsid w:val="00A105FB"/>
    <w:rsid w:val="00A10C50"/>
    <w:rsid w:val="00A13016"/>
    <w:rsid w:val="00A204B1"/>
    <w:rsid w:val="00A24F3F"/>
    <w:rsid w:val="00A31516"/>
    <w:rsid w:val="00A32C2D"/>
    <w:rsid w:val="00A36636"/>
    <w:rsid w:val="00A3727A"/>
    <w:rsid w:val="00A3781E"/>
    <w:rsid w:val="00A436FB"/>
    <w:rsid w:val="00A56DFC"/>
    <w:rsid w:val="00A60F8E"/>
    <w:rsid w:val="00A65995"/>
    <w:rsid w:val="00A65BF9"/>
    <w:rsid w:val="00A66395"/>
    <w:rsid w:val="00A7030D"/>
    <w:rsid w:val="00A730C7"/>
    <w:rsid w:val="00A769DD"/>
    <w:rsid w:val="00A80ABC"/>
    <w:rsid w:val="00A8185B"/>
    <w:rsid w:val="00A82451"/>
    <w:rsid w:val="00A85A96"/>
    <w:rsid w:val="00A866E0"/>
    <w:rsid w:val="00A8794F"/>
    <w:rsid w:val="00A94339"/>
    <w:rsid w:val="00A96DAC"/>
    <w:rsid w:val="00A97589"/>
    <w:rsid w:val="00AA226B"/>
    <w:rsid w:val="00AA2DBC"/>
    <w:rsid w:val="00AB2D51"/>
    <w:rsid w:val="00AC4B5A"/>
    <w:rsid w:val="00AD3BFD"/>
    <w:rsid w:val="00AD7FB7"/>
    <w:rsid w:val="00AE58DF"/>
    <w:rsid w:val="00AE66B0"/>
    <w:rsid w:val="00AE673D"/>
    <w:rsid w:val="00AF2C73"/>
    <w:rsid w:val="00AF3996"/>
    <w:rsid w:val="00AF611E"/>
    <w:rsid w:val="00AF6738"/>
    <w:rsid w:val="00AF7F1C"/>
    <w:rsid w:val="00B031E7"/>
    <w:rsid w:val="00B055E3"/>
    <w:rsid w:val="00B11605"/>
    <w:rsid w:val="00B17D18"/>
    <w:rsid w:val="00B17DDF"/>
    <w:rsid w:val="00B21D00"/>
    <w:rsid w:val="00B3218B"/>
    <w:rsid w:val="00B36B6D"/>
    <w:rsid w:val="00B41C92"/>
    <w:rsid w:val="00B441E3"/>
    <w:rsid w:val="00B466D9"/>
    <w:rsid w:val="00B51E96"/>
    <w:rsid w:val="00B5353D"/>
    <w:rsid w:val="00B60982"/>
    <w:rsid w:val="00B625DC"/>
    <w:rsid w:val="00B635B2"/>
    <w:rsid w:val="00B648B8"/>
    <w:rsid w:val="00B659EA"/>
    <w:rsid w:val="00B666B2"/>
    <w:rsid w:val="00B70C25"/>
    <w:rsid w:val="00B74B7F"/>
    <w:rsid w:val="00B770A0"/>
    <w:rsid w:val="00B806BD"/>
    <w:rsid w:val="00B85B60"/>
    <w:rsid w:val="00B87E23"/>
    <w:rsid w:val="00B903DA"/>
    <w:rsid w:val="00B93070"/>
    <w:rsid w:val="00B93DD0"/>
    <w:rsid w:val="00BA0A3B"/>
    <w:rsid w:val="00BA750C"/>
    <w:rsid w:val="00BB2AF7"/>
    <w:rsid w:val="00BB4416"/>
    <w:rsid w:val="00BB69E8"/>
    <w:rsid w:val="00BB6A48"/>
    <w:rsid w:val="00BB7D03"/>
    <w:rsid w:val="00BC1787"/>
    <w:rsid w:val="00BC2F31"/>
    <w:rsid w:val="00BC3E3B"/>
    <w:rsid w:val="00BC4A8F"/>
    <w:rsid w:val="00BC4E21"/>
    <w:rsid w:val="00BC7C1A"/>
    <w:rsid w:val="00BC7C41"/>
    <w:rsid w:val="00BD02C3"/>
    <w:rsid w:val="00BD0551"/>
    <w:rsid w:val="00BD129A"/>
    <w:rsid w:val="00BD13DE"/>
    <w:rsid w:val="00BD1C0A"/>
    <w:rsid w:val="00BD340B"/>
    <w:rsid w:val="00BD60F1"/>
    <w:rsid w:val="00BD785F"/>
    <w:rsid w:val="00BE0706"/>
    <w:rsid w:val="00BF0B25"/>
    <w:rsid w:val="00BF226C"/>
    <w:rsid w:val="00BF4BD8"/>
    <w:rsid w:val="00BF6F0B"/>
    <w:rsid w:val="00C017B6"/>
    <w:rsid w:val="00C07D53"/>
    <w:rsid w:val="00C13971"/>
    <w:rsid w:val="00C139FC"/>
    <w:rsid w:val="00C201E1"/>
    <w:rsid w:val="00C21731"/>
    <w:rsid w:val="00C249B9"/>
    <w:rsid w:val="00C24F2C"/>
    <w:rsid w:val="00C27F83"/>
    <w:rsid w:val="00C3313D"/>
    <w:rsid w:val="00C34573"/>
    <w:rsid w:val="00C34593"/>
    <w:rsid w:val="00C37442"/>
    <w:rsid w:val="00C434DA"/>
    <w:rsid w:val="00C47550"/>
    <w:rsid w:val="00C5135C"/>
    <w:rsid w:val="00C521D4"/>
    <w:rsid w:val="00C53193"/>
    <w:rsid w:val="00C548E4"/>
    <w:rsid w:val="00C5521C"/>
    <w:rsid w:val="00C559DC"/>
    <w:rsid w:val="00C564D7"/>
    <w:rsid w:val="00C56FFA"/>
    <w:rsid w:val="00C63DE8"/>
    <w:rsid w:val="00C64BF5"/>
    <w:rsid w:val="00C66CF3"/>
    <w:rsid w:val="00C66EB0"/>
    <w:rsid w:val="00C72DDA"/>
    <w:rsid w:val="00C779EE"/>
    <w:rsid w:val="00C83D05"/>
    <w:rsid w:val="00C85D56"/>
    <w:rsid w:val="00C94BC1"/>
    <w:rsid w:val="00C95B10"/>
    <w:rsid w:val="00C960E4"/>
    <w:rsid w:val="00C971C1"/>
    <w:rsid w:val="00C97607"/>
    <w:rsid w:val="00CA1E03"/>
    <w:rsid w:val="00CA5685"/>
    <w:rsid w:val="00CA710E"/>
    <w:rsid w:val="00CB104F"/>
    <w:rsid w:val="00CB32D7"/>
    <w:rsid w:val="00CB479B"/>
    <w:rsid w:val="00CB4EB1"/>
    <w:rsid w:val="00CB7989"/>
    <w:rsid w:val="00CC1B73"/>
    <w:rsid w:val="00CC580D"/>
    <w:rsid w:val="00CC6E6E"/>
    <w:rsid w:val="00CD1A16"/>
    <w:rsid w:val="00CD7D88"/>
    <w:rsid w:val="00CE25A4"/>
    <w:rsid w:val="00CE44F2"/>
    <w:rsid w:val="00CE6CED"/>
    <w:rsid w:val="00CF3BC9"/>
    <w:rsid w:val="00CF7694"/>
    <w:rsid w:val="00D0249B"/>
    <w:rsid w:val="00D032CF"/>
    <w:rsid w:val="00D055F0"/>
    <w:rsid w:val="00D06047"/>
    <w:rsid w:val="00D1107D"/>
    <w:rsid w:val="00D12411"/>
    <w:rsid w:val="00D1478B"/>
    <w:rsid w:val="00D15565"/>
    <w:rsid w:val="00D16999"/>
    <w:rsid w:val="00D238CF"/>
    <w:rsid w:val="00D2432B"/>
    <w:rsid w:val="00D265EA"/>
    <w:rsid w:val="00D30D23"/>
    <w:rsid w:val="00D31C00"/>
    <w:rsid w:val="00D35359"/>
    <w:rsid w:val="00D35B6D"/>
    <w:rsid w:val="00D3728F"/>
    <w:rsid w:val="00D40AC2"/>
    <w:rsid w:val="00D42E4B"/>
    <w:rsid w:val="00D446D0"/>
    <w:rsid w:val="00D471E4"/>
    <w:rsid w:val="00D52C87"/>
    <w:rsid w:val="00D53D05"/>
    <w:rsid w:val="00D614B3"/>
    <w:rsid w:val="00D70A9D"/>
    <w:rsid w:val="00D742B9"/>
    <w:rsid w:val="00D75429"/>
    <w:rsid w:val="00D76660"/>
    <w:rsid w:val="00D76FF9"/>
    <w:rsid w:val="00D80417"/>
    <w:rsid w:val="00D816A5"/>
    <w:rsid w:val="00D83299"/>
    <w:rsid w:val="00D8384F"/>
    <w:rsid w:val="00D863EF"/>
    <w:rsid w:val="00D904D7"/>
    <w:rsid w:val="00D9054E"/>
    <w:rsid w:val="00D92AC9"/>
    <w:rsid w:val="00D936D2"/>
    <w:rsid w:val="00D95E41"/>
    <w:rsid w:val="00DA0317"/>
    <w:rsid w:val="00DA2132"/>
    <w:rsid w:val="00DA2AF8"/>
    <w:rsid w:val="00DA5089"/>
    <w:rsid w:val="00DA68A3"/>
    <w:rsid w:val="00DA6B00"/>
    <w:rsid w:val="00DA7F80"/>
    <w:rsid w:val="00DB42F0"/>
    <w:rsid w:val="00DC50C4"/>
    <w:rsid w:val="00DD3F31"/>
    <w:rsid w:val="00DD66A5"/>
    <w:rsid w:val="00DE0583"/>
    <w:rsid w:val="00DE209E"/>
    <w:rsid w:val="00DE3B6C"/>
    <w:rsid w:val="00DF0377"/>
    <w:rsid w:val="00DF1A23"/>
    <w:rsid w:val="00DF1E55"/>
    <w:rsid w:val="00DF42E1"/>
    <w:rsid w:val="00DF45FA"/>
    <w:rsid w:val="00DF4C0F"/>
    <w:rsid w:val="00DF5C7B"/>
    <w:rsid w:val="00DF632A"/>
    <w:rsid w:val="00DF797D"/>
    <w:rsid w:val="00E02F52"/>
    <w:rsid w:val="00E10EF9"/>
    <w:rsid w:val="00E11B39"/>
    <w:rsid w:val="00E22DD9"/>
    <w:rsid w:val="00E2620E"/>
    <w:rsid w:val="00E30250"/>
    <w:rsid w:val="00E30E90"/>
    <w:rsid w:val="00E32DF4"/>
    <w:rsid w:val="00E33D2D"/>
    <w:rsid w:val="00E368E1"/>
    <w:rsid w:val="00E36C4D"/>
    <w:rsid w:val="00E37F21"/>
    <w:rsid w:val="00E4336D"/>
    <w:rsid w:val="00E43C87"/>
    <w:rsid w:val="00E43D6B"/>
    <w:rsid w:val="00E4482C"/>
    <w:rsid w:val="00E44CEF"/>
    <w:rsid w:val="00E47611"/>
    <w:rsid w:val="00E47ECE"/>
    <w:rsid w:val="00E501CE"/>
    <w:rsid w:val="00E533F8"/>
    <w:rsid w:val="00E53626"/>
    <w:rsid w:val="00E64FDD"/>
    <w:rsid w:val="00E65122"/>
    <w:rsid w:val="00E70ECE"/>
    <w:rsid w:val="00E739CB"/>
    <w:rsid w:val="00E77E8E"/>
    <w:rsid w:val="00E8100C"/>
    <w:rsid w:val="00E83199"/>
    <w:rsid w:val="00E83D2E"/>
    <w:rsid w:val="00E86930"/>
    <w:rsid w:val="00E878DC"/>
    <w:rsid w:val="00E92379"/>
    <w:rsid w:val="00EA0634"/>
    <w:rsid w:val="00EA4A48"/>
    <w:rsid w:val="00EB0B5D"/>
    <w:rsid w:val="00EB2E99"/>
    <w:rsid w:val="00EB3564"/>
    <w:rsid w:val="00EB4E72"/>
    <w:rsid w:val="00EB6291"/>
    <w:rsid w:val="00EC70E0"/>
    <w:rsid w:val="00ED2505"/>
    <w:rsid w:val="00ED3BBE"/>
    <w:rsid w:val="00ED4889"/>
    <w:rsid w:val="00ED7883"/>
    <w:rsid w:val="00EE0806"/>
    <w:rsid w:val="00EE3182"/>
    <w:rsid w:val="00EE3BD1"/>
    <w:rsid w:val="00EE40CD"/>
    <w:rsid w:val="00EE564A"/>
    <w:rsid w:val="00EF1478"/>
    <w:rsid w:val="00EF4A94"/>
    <w:rsid w:val="00EF64F8"/>
    <w:rsid w:val="00F00038"/>
    <w:rsid w:val="00F03198"/>
    <w:rsid w:val="00F0469B"/>
    <w:rsid w:val="00F052BB"/>
    <w:rsid w:val="00F11B32"/>
    <w:rsid w:val="00F12CDC"/>
    <w:rsid w:val="00F134E5"/>
    <w:rsid w:val="00F14EFD"/>
    <w:rsid w:val="00F154D6"/>
    <w:rsid w:val="00F17712"/>
    <w:rsid w:val="00F309CD"/>
    <w:rsid w:val="00F319E5"/>
    <w:rsid w:val="00F36361"/>
    <w:rsid w:val="00F37192"/>
    <w:rsid w:val="00F4048B"/>
    <w:rsid w:val="00F405E8"/>
    <w:rsid w:val="00F40EF4"/>
    <w:rsid w:val="00F454E3"/>
    <w:rsid w:val="00F46921"/>
    <w:rsid w:val="00F47F6C"/>
    <w:rsid w:val="00F50EDB"/>
    <w:rsid w:val="00F5291E"/>
    <w:rsid w:val="00F53B7B"/>
    <w:rsid w:val="00F54862"/>
    <w:rsid w:val="00F55454"/>
    <w:rsid w:val="00F6475D"/>
    <w:rsid w:val="00F656AB"/>
    <w:rsid w:val="00F6708A"/>
    <w:rsid w:val="00F7132B"/>
    <w:rsid w:val="00F7429E"/>
    <w:rsid w:val="00F764D8"/>
    <w:rsid w:val="00F82754"/>
    <w:rsid w:val="00F91F53"/>
    <w:rsid w:val="00F9483C"/>
    <w:rsid w:val="00F94E9C"/>
    <w:rsid w:val="00FA2127"/>
    <w:rsid w:val="00FA2E34"/>
    <w:rsid w:val="00FA66FD"/>
    <w:rsid w:val="00FB3F17"/>
    <w:rsid w:val="00FB50E4"/>
    <w:rsid w:val="00FB6CB7"/>
    <w:rsid w:val="00FC2657"/>
    <w:rsid w:val="00FC4C72"/>
    <w:rsid w:val="00FC614E"/>
    <w:rsid w:val="00FD0165"/>
    <w:rsid w:val="00FD07D3"/>
    <w:rsid w:val="00FD15A7"/>
    <w:rsid w:val="00FD455E"/>
    <w:rsid w:val="00FD7902"/>
    <w:rsid w:val="00FE3AF0"/>
    <w:rsid w:val="00FE5CD3"/>
    <w:rsid w:val="00FE79BD"/>
    <w:rsid w:val="00FF1CF3"/>
    <w:rsid w:val="00FF2BF8"/>
    <w:rsid w:val="00FF58E6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1AB2"/>
  <w15:chartTrackingRefBased/>
  <w15:docId w15:val="{D5F2C4D4-176B-40FA-904F-5C6EC2C9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7E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7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C5D8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21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6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7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9307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3070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E1"/>
  </w:style>
  <w:style w:type="paragraph" w:styleId="Footer">
    <w:name w:val="footer"/>
    <w:basedOn w:val="Normal"/>
    <w:link w:val="FooterChar"/>
    <w:uiPriority w:val="99"/>
    <w:unhideWhenUsed/>
    <w:rsid w:val="00C2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E1"/>
  </w:style>
  <w:style w:type="paragraph" w:styleId="TOCHeading">
    <w:name w:val="TOC Heading"/>
    <w:basedOn w:val="Heading1"/>
    <w:next w:val="Normal"/>
    <w:uiPriority w:val="39"/>
    <w:unhideWhenUsed/>
    <w:qFormat/>
    <w:rsid w:val="002248A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48A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248A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248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s.org/bcbs/publ/d424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s.princeton.edu/courses/archive/fall09/cos323/papers/black_scholes73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is.org/basel_framework/chapter/MAR/32.htm?inforce=20220101&amp;export=pdf&amp;pdfid=15748148808778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 </Abstract>
  <CompanyAddress/>
  <CompanyPhone/>
  <CompanyFax/>
  <CompanyEmail>Yc3580@columbia.edu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FD67DC-831A-4F54-8E62-39AC4578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10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documentation</dc:title>
  <dc:subject>Group 2</dc:subject>
  <dc:creator>Yuchen Cao, Zitong Cheng, Aaron Li</dc:creator>
  <cp:keywords/>
  <dc:description/>
  <cp:lastModifiedBy>Cao Yuchen</cp:lastModifiedBy>
  <cp:revision>901</cp:revision>
  <dcterms:created xsi:type="dcterms:W3CDTF">2019-11-04T13:45:00Z</dcterms:created>
  <dcterms:modified xsi:type="dcterms:W3CDTF">2019-12-13T03:35:00Z</dcterms:modified>
</cp:coreProperties>
</file>