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9508D2">
      <w:pPr>
        <w:pStyle w:val="11"/>
        <w:spacing w:before="250" w:beforeLines="50"/>
        <w:ind w:firstLine="560" w:firstLineChars="200"/>
      </w:pPr>
      <w:r>
        <w:rPr>
          <w:color w:val="auto"/>
        </w:rPr>
        <w:t>在本申请的实施例中，</w:t>
      </w:r>
      <w:r>
        <w:rPr>
          <w:rFonts w:hint="eastAsia"/>
          <w:color w:val="auto"/>
        </w:rPr>
        <w:t>本申请提供了“为实现水电设备健康预警分析智能化应用，首先以单变量测点</w:t>
      </w:r>
      <w:r>
        <w:rPr>
          <w:rFonts w:hint="eastAsia"/>
          <w:color w:val="auto"/>
          <w:lang w:eastAsia="zh-CN"/>
        </w:rPr>
        <w:t>、</w:t>
      </w:r>
      <w:r>
        <w:rPr>
          <w:rFonts w:hint="eastAsia"/>
          <w:color w:val="auto"/>
        </w:rPr>
        <w:t>多变量测点构建健康度偏离度评估设备风险趋势模型，然后在此基础上构建融合集成模型，</w:t>
      </w:r>
      <w:r>
        <w:rPr>
          <w:rFonts w:hint="eastAsia"/>
          <w:color w:val="auto"/>
          <w:lang w:val="en-US" w:eastAsia="zh-CN"/>
        </w:rPr>
        <w:t>形成</w:t>
      </w:r>
      <w:r>
        <w:rPr>
          <w:rFonts w:hint="eastAsia"/>
          <w:color w:val="auto"/>
        </w:rPr>
        <w:t>最终</w:t>
      </w:r>
      <w:r>
        <w:rPr>
          <w:rFonts w:hint="eastAsia"/>
          <w:color w:val="auto"/>
          <w:lang w:val="en-US" w:eastAsia="zh-CN"/>
        </w:rPr>
        <w:t>异常</w:t>
      </w:r>
      <w:r>
        <w:rPr>
          <w:rFonts w:hint="eastAsia"/>
          <w:color w:val="auto"/>
        </w:rPr>
        <w:t>预警结论</w:t>
      </w:r>
      <w:r>
        <w:rPr>
          <w:rFonts w:hint="eastAsia"/>
          <w:color w:val="auto"/>
          <w:lang w:eastAsia="zh-CN"/>
        </w:rPr>
        <w:t>，</w:t>
      </w:r>
      <w:r>
        <w:rPr>
          <w:rFonts w:hint="eastAsia"/>
          <w:color w:val="auto"/>
          <w:lang w:val="en-US" w:eastAsia="zh-CN"/>
        </w:rPr>
        <w:t>最后使用概率图模型分析潜在隐患</w:t>
      </w:r>
      <w:r>
        <w:rPr>
          <w:rFonts w:hint="eastAsia"/>
          <w:color w:val="auto"/>
        </w:rPr>
        <w:t>”的解决方案，具体为：获取水电机组的运行数据，依据所述运行数据进行处理得到局部异常度和整体健康度；依据所述局部异常度和所述整体健康度得到水电机组风险隐患的概率。本申请通过基于大数据和AI的方式研究实现了水电机组设备的健康管理体系，通过水电机组设备健康预警预测模型体系</w:t>
      </w:r>
      <w:r>
        <w:rPr>
          <w:rFonts w:hint="eastAsia"/>
          <w:color w:val="auto"/>
          <w:lang w:eastAsia="zh-CN"/>
        </w:rPr>
        <w:t>、</w:t>
      </w:r>
      <w:r>
        <w:rPr>
          <w:rFonts w:hint="eastAsia"/>
          <w:color w:val="auto"/>
        </w:rPr>
        <w:t>设备测点预警预测模型</w:t>
      </w:r>
      <w:r>
        <w:rPr>
          <w:rFonts w:hint="eastAsia"/>
          <w:color w:val="auto"/>
          <w:lang w:eastAsia="zh-CN"/>
        </w:rPr>
        <w:t>、</w:t>
      </w:r>
      <w:r>
        <w:rPr>
          <w:rFonts w:hint="eastAsia"/>
          <w:color w:val="auto"/>
        </w:rPr>
        <w:t>劣化趋势模型</w:t>
      </w:r>
      <w:r>
        <w:rPr>
          <w:rFonts w:hint="eastAsia"/>
          <w:color w:val="auto"/>
          <w:lang w:eastAsia="zh-CN"/>
        </w:rPr>
        <w:t>、</w:t>
      </w:r>
      <w:r>
        <w:rPr>
          <w:rFonts w:hint="eastAsia"/>
          <w:color w:val="auto"/>
        </w:rPr>
        <w:t>数据趋势分析模型，构建</w:t>
      </w:r>
      <w:r>
        <w:rPr>
          <w:rFonts w:hint="eastAsia"/>
          <w:color w:val="auto"/>
          <w:lang w:val="en-US" w:eastAsia="zh-CN"/>
        </w:rPr>
        <w:t>了</w:t>
      </w:r>
      <w:r>
        <w:rPr>
          <w:rFonts w:hint="eastAsia"/>
          <w:color w:val="auto"/>
        </w:rPr>
        <w:t>完整</w:t>
      </w:r>
      <w:r>
        <w:rPr>
          <w:rFonts w:hint="eastAsia"/>
          <w:color w:val="auto"/>
          <w:lang w:val="en-US" w:eastAsia="zh-CN"/>
        </w:rPr>
        <w:t>的</w:t>
      </w:r>
      <w:r>
        <w:rPr>
          <w:rFonts w:hint="eastAsia"/>
          <w:color w:val="auto"/>
        </w:rPr>
        <w:t>基于大数据的机组健康风险管理体系。</w:t>
      </w:r>
    </w:p>
    <w:p w14:paraId="358011F8">
      <w:pPr>
        <w:pStyle w:val="11"/>
        <w:spacing w:before="250" w:beforeLines="50"/>
        <w:ind w:firstLine="0"/>
      </w:pPr>
    </w:p>
    <w:p w14:paraId="0D3E1AFB">
      <w:pPr>
        <w:pStyle w:val="11"/>
        <w:ind w:firstLine="560" w:firstLineChars="200"/>
      </w:pPr>
    </w:p>
    <w:p w14:paraId="1370B2A9">
      <w:pPr>
        <w:spacing w:before="50" w:line="360" w:lineRule="auto"/>
        <w:rPr>
          <w:rFonts w:eastAsia="楷体_GB2312"/>
          <w:sz w:val="28"/>
        </w:rPr>
        <w:sectPr>
          <w:footerReference r:id="rId5" w:type="first"/>
          <w:headerReference r:id="rId3" w:type="default"/>
          <w:footerReference r:id="rId4" w:type="default"/>
          <w:pgSz w:w="11906" w:h="16838"/>
          <w:pgMar w:top="1701" w:right="1191" w:bottom="1418" w:left="1531" w:header="851" w:footer="706" w:gutter="0"/>
          <w:lnNumType w:countBy="5"/>
          <w:cols w:space="720" w:num="1"/>
          <w:docGrid w:type="lines" w:linePitch="500" w:charSpace="0"/>
        </w:sectPr>
      </w:pPr>
    </w:p>
    <w:p w14:paraId="1C833990">
      <w:pPr>
        <w:spacing w:before="50" w:line="360" w:lineRule="auto"/>
        <w:jc w:val="center"/>
        <w:rPr>
          <w:sz w:val="28"/>
        </w:rPr>
      </w:pPr>
      <w:r>
        <w:drawing>
          <wp:inline distT="0" distB="0" distL="114300" distR="114300">
            <wp:extent cx="4733925" cy="1905000"/>
            <wp:effectExtent l="0" t="0" r="9525"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20"/>
                    <a:stretch>
                      <a:fillRect/>
                    </a:stretch>
                  </pic:blipFill>
                  <pic:spPr>
                    <a:xfrm>
                      <a:off x="0" y="0"/>
                      <a:ext cx="4733925" cy="1905000"/>
                    </a:xfrm>
                    <a:prstGeom prst="rect">
                      <a:avLst/>
                    </a:prstGeom>
                    <a:noFill/>
                    <a:ln>
                      <a:noFill/>
                    </a:ln>
                  </pic:spPr>
                </pic:pic>
              </a:graphicData>
            </a:graphic>
          </wp:inline>
        </w:drawing>
      </w:r>
    </w:p>
    <w:p w14:paraId="6D56CFF6">
      <w:pPr>
        <w:spacing w:before="50" w:line="360" w:lineRule="auto"/>
        <w:jc w:val="center"/>
        <w:rPr>
          <w:rFonts w:eastAsia="楷体_GB2312"/>
          <w:sz w:val="28"/>
        </w:rPr>
        <w:sectPr>
          <w:headerReference r:id="rId6" w:type="default"/>
          <w:footerReference r:id="rId7" w:type="default"/>
          <w:pgSz w:w="11906" w:h="16838"/>
          <w:pgMar w:top="1701" w:right="1191" w:bottom="1418" w:left="1531" w:header="851" w:footer="567" w:gutter="0"/>
          <w:pgNumType w:start="1"/>
          <w:cols w:space="720" w:num="1"/>
          <w:docGrid w:type="lines" w:linePitch="500" w:charSpace="0"/>
        </w:sectPr>
      </w:pPr>
    </w:p>
    <w:p w14:paraId="5D13EBB4">
      <w:pPr>
        <w:pStyle w:val="11"/>
        <w:spacing w:before="250" w:beforeLines="50"/>
        <w:ind w:firstLine="560" w:firstLineChars="200"/>
        <w:rPr>
          <w:color w:val="auto"/>
        </w:rPr>
      </w:pPr>
      <w:r>
        <w:rPr>
          <w:color w:val="auto"/>
        </w:rPr>
        <w:t>1、一种</w:t>
      </w:r>
      <w:r>
        <w:rPr>
          <w:rFonts w:hint="eastAsia"/>
          <w:color w:val="auto"/>
        </w:rPr>
        <w:t>基于水电机组的风险预测方法，其特征在于，所述方法用于对水电机组设备进行风险隐患预测，包括：</w:t>
      </w:r>
    </w:p>
    <w:p w14:paraId="604632D4">
      <w:pPr>
        <w:pStyle w:val="11"/>
        <w:ind w:firstLine="560" w:firstLineChars="200"/>
      </w:pPr>
      <w:r>
        <w:rPr>
          <w:rFonts w:hint="eastAsia"/>
        </w:rPr>
        <w:t>获取水电机组的运行数据，并依据所述运行数据进行处理得到局部异常度和整体健康度；</w:t>
      </w:r>
    </w:p>
    <w:p w14:paraId="0018D213">
      <w:pPr>
        <w:pStyle w:val="11"/>
        <w:ind w:firstLine="560" w:firstLineChars="200"/>
      </w:pPr>
      <w:r>
        <w:rPr>
          <w:rFonts w:hint="eastAsia"/>
        </w:rPr>
        <w:t>依据所述局部异常度和所述整体健康度得到</w:t>
      </w:r>
      <w:r>
        <w:rPr>
          <w:rFonts w:hint="eastAsia"/>
          <w:color w:val="auto"/>
        </w:rPr>
        <w:t>水电机组</w:t>
      </w:r>
      <w:r>
        <w:rPr>
          <w:rFonts w:hint="eastAsia"/>
        </w:rPr>
        <w:t>风险隐患的概率。</w:t>
      </w:r>
    </w:p>
    <w:p w14:paraId="533FDB53">
      <w:pPr>
        <w:pStyle w:val="11"/>
        <w:ind w:firstLine="560" w:firstLineChars="200"/>
      </w:pPr>
    </w:p>
    <w:p w14:paraId="53CDD060">
      <w:pPr>
        <w:pStyle w:val="11"/>
        <w:ind w:firstLine="560" w:firstLineChars="200"/>
      </w:pPr>
      <w:r>
        <w:rPr>
          <w:rFonts w:hint="eastAsia"/>
        </w:rPr>
        <w:t>2、根据权利要求1所述的基于水电机组的风险预测方法，其特征在于，依据所述运行数据进行处理得到局部异常度和整体健康度的步骤，包括：</w:t>
      </w:r>
    </w:p>
    <w:p w14:paraId="19BFD675">
      <w:pPr>
        <w:pStyle w:val="11"/>
        <w:ind w:firstLine="560" w:firstLineChars="200"/>
      </w:pPr>
      <w:r>
        <w:rPr>
          <w:rFonts w:hint="eastAsia"/>
        </w:rPr>
        <w:t>依据所述运行数据进行处理得到初始数据；其中，所述初始数据包括初始水轮发电机数据</w:t>
      </w:r>
      <w:r>
        <w:rPr>
          <w:rFonts w:hint="eastAsia"/>
          <w:lang w:eastAsia="zh-CN"/>
        </w:rPr>
        <w:t>、</w:t>
      </w:r>
      <w:r>
        <w:rPr>
          <w:rFonts w:hint="eastAsia"/>
        </w:rPr>
        <w:t>初始负荷数据以及初始环境温度数据；</w:t>
      </w:r>
    </w:p>
    <w:p w14:paraId="6F930956">
      <w:pPr>
        <w:pStyle w:val="11"/>
        <w:ind w:firstLine="560" w:firstLineChars="200"/>
      </w:pPr>
      <w:r>
        <w:rPr>
          <w:rFonts w:hint="eastAsia"/>
        </w:rPr>
        <w:t>依据所述初始数据得到局部异常度和整体健康度。</w:t>
      </w:r>
    </w:p>
    <w:p w14:paraId="76DA2957">
      <w:pPr>
        <w:pStyle w:val="11"/>
        <w:ind w:firstLine="0"/>
      </w:pPr>
    </w:p>
    <w:p w14:paraId="2A70ED9C">
      <w:pPr>
        <w:pStyle w:val="11"/>
        <w:ind w:firstLine="560" w:firstLineChars="200"/>
      </w:pPr>
      <w:r>
        <w:rPr>
          <w:rFonts w:hint="eastAsia"/>
        </w:rPr>
        <w:t>3、根据权利要求2所述的基于水电机组的风险预测方法，其特征在于，依据所述初始数据得到局部异常度和整体健康度的步骤，包括：</w:t>
      </w:r>
    </w:p>
    <w:p w14:paraId="49584F04">
      <w:pPr>
        <w:pStyle w:val="11"/>
        <w:ind w:firstLine="560" w:firstLineChars="200"/>
      </w:pPr>
      <w:r>
        <w:rPr>
          <w:rFonts w:hint="eastAsia"/>
        </w:rPr>
        <w:t>依据所述初始水轮发电机数据和初始负荷数据进行单测点分析得到局部异常度；</w:t>
      </w:r>
    </w:p>
    <w:p w14:paraId="5BDC2205">
      <w:pPr>
        <w:pStyle w:val="11"/>
        <w:ind w:firstLine="560" w:firstLineChars="200"/>
      </w:pPr>
      <w:r>
        <w:rPr>
          <w:rFonts w:hint="eastAsia"/>
        </w:rPr>
        <w:t>依据所述初始水轮发电机数据，所述初始负荷数据以及所述初始环境温度数据进行多测点分析得到整体健康度。</w:t>
      </w:r>
    </w:p>
    <w:p w14:paraId="2712044B">
      <w:pPr>
        <w:pStyle w:val="11"/>
        <w:ind w:firstLine="560" w:firstLineChars="200"/>
      </w:pPr>
    </w:p>
    <w:p w14:paraId="793B68FD">
      <w:pPr>
        <w:pStyle w:val="11"/>
        <w:ind w:firstLine="560" w:firstLineChars="200"/>
        <w:rPr>
          <w:color w:val="auto"/>
        </w:rPr>
      </w:pPr>
      <w:r>
        <w:rPr>
          <w:rFonts w:hint="eastAsia"/>
        </w:rPr>
        <w:t>4、根据权利要求3所述的基于水电机组的风险预测方法，其特征在于，依据所述初始水轮发电机数据和初始负荷数据进行单测点分析得到局部异常度</w:t>
      </w:r>
      <w:r>
        <w:rPr>
          <w:rFonts w:hint="eastAsia"/>
          <w:color w:val="auto"/>
        </w:rPr>
        <w:t>的</w:t>
      </w:r>
      <w:r>
        <w:rPr>
          <w:rFonts w:hint="eastAsia"/>
        </w:rPr>
        <w:t>步骤，包括：</w:t>
      </w:r>
    </w:p>
    <w:p w14:paraId="7737B781">
      <w:pPr>
        <w:pStyle w:val="11"/>
        <w:ind w:firstLine="560" w:firstLineChars="200"/>
      </w:pPr>
      <w:r>
        <w:rPr>
          <w:rFonts w:hint="eastAsia"/>
        </w:rPr>
        <w:t>依据所述初始水轮发电机数据和初始负荷数据和预设单测点模型得到目标状态量；</w:t>
      </w:r>
    </w:p>
    <w:p w14:paraId="2F87CAF9">
      <w:pPr>
        <w:pStyle w:val="11"/>
        <w:ind w:firstLine="560" w:firstLineChars="200"/>
      </w:pPr>
      <w:r>
        <w:rPr>
          <w:rFonts w:hint="eastAsia"/>
        </w:rPr>
        <w:t>依据所述目标状态量和标准状态量进行比对得到所述局部异常度。</w:t>
      </w:r>
    </w:p>
    <w:p w14:paraId="078276B8">
      <w:pPr>
        <w:pStyle w:val="11"/>
        <w:ind w:firstLine="560" w:firstLineChars="200"/>
      </w:pPr>
    </w:p>
    <w:p w14:paraId="33113687">
      <w:pPr>
        <w:pStyle w:val="11"/>
        <w:ind w:firstLine="560" w:firstLineChars="200"/>
      </w:pPr>
      <w:r>
        <w:rPr>
          <w:rFonts w:hint="eastAsia"/>
        </w:rPr>
        <w:t>5、根据权利要求3所述的基于水电机组的风险预测方法，其特征在于，依据所述初始水轮发电机数据，所述初始负荷数据以及所述初始环境温度数据进行多测点分析得到整体健康度的步骤，包括：</w:t>
      </w:r>
    </w:p>
    <w:p w14:paraId="3665B009">
      <w:pPr>
        <w:pStyle w:val="11"/>
        <w:ind w:firstLine="560" w:firstLineChars="200"/>
      </w:pPr>
      <w:r>
        <w:rPr>
          <w:rFonts w:hint="eastAsia"/>
        </w:rPr>
        <w:t>依据所述初始水轮发电机数据，所述初始负荷数据以及所述初始环境温度数据输入预设多测点模型得到预测健康度；</w:t>
      </w:r>
    </w:p>
    <w:p w14:paraId="761F1EAF">
      <w:pPr>
        <w:pStyle w:val="11"/>
        <w:ind w:firstLine="560" w:firstLineChars="200"/>
      </w:pPr>
      <w:r>
        <w:rPr>
          <w:rFonts w:hint="eastAsia"/>
        </w:rPr>
        <w:t>依据所述预测健康度和标准健康度进行比对得到整体健康度。</w:t>
      </w:r>
    </w:p>
    <w:p w14:paraId="22E9227A">
      <w:pPr>
        <w:pStyle w:val="11"/>
        <w:ind w:firstLine="560" w:firstLineChars="200"/>
      </w:pPr>
    </w:p>
    <w:p w14:paraId="64DC6262">
      <w:pPr>
        <w:pStyle w:val="11"/>
        <w:ind w:firstLine="560" w:firstLineChars="200"/>
      </w:pPr>
      <w:r>
        <w:rPr>
          <w:rFonts w:hint="eastAsia"/>
        </w:rPr>
        <w:t>6</w:t>
      </w:r>
      <w:r>
        <w:rPr>
          <w:rFonts w:hint="eastAsia"/>
          <w:color w:val="auto"/>
        </w:rPr>
        <w:t>、根据权利要求1所述的基于水电机组的风险预测方法，其特征在于，</w:t>
      </w:r>
      <w:r>
        <w:rPr>
          <w:rFonts w:hint="eastAsia"/>
        </w:rPr>
        <w:t>依据所述局部异常度和所述整体健康度得到</w:t>
      </w:r>
      <w:r>
        <w:rPr>
          <w:rFonts w:hint="eastAsia"/>
          <w:color w:val="auto"/>
        </w:rPr>
        <w:t>水电机组</w:t>
      </w:r>
      <w:r>
        <w:rPr>
          <w:rFonts w:hint="eastAsia"/>
        </w:rPr>
        <w:t>风险隐患的概率的步骤，包括：</w:t>
      </w:r>
    </w:p>
    <w:p w14:paraId="7FECDC2B">
      <w:pPr>
        <w:pStyle w:val="11"/>
        <w:ind w:firstLine="560" w:firstLineChars="200"/>
        <w:rPr>
          <w:rFonts w:hint="eastAsia"/>
          <w:lang w:val="en-US" w:eastAsia="zh-CN"/>
        </w:rPr>
      </w:pPr>
      <w:r>
        <w:rPr>
          <w:rFonts w:hint="eastAsia"/>
        </w:rPr>
        <w:t>将</w:t>
      </w:r>
      <w:r>
        <w:rPr>
          <w:rFonts w:hint="eastAsia"/>
          <w:lang w:val="en-US" w:eastAsia="zh-CN"/>
        </w:rPr>
        <w:t>多个模型的所诉</w:t>
      </w:r>
      <w:r>
        <w:rPr>
          <w:rFonts w:hint="eastAsia"/>
        </w:rPr>
        <w:t>局部异常度和所述整体健康度</w:t>
      </w:r>
      <w:r>
        <w:rPr>
          <w:rFonts w:hint="eastAsia"/>
          <w:lang w:val="en-US" w:eastAsia="zh-CN"/>
        </w:rPr>
        <w:t>输入集成模型，得到整个水电机组健康状态；</w:t>
      </w:r>
    </w:p>
    <w:p w14:paraId="75B72F0D">
      <w:pPr>
        <w:pStyle w:val="11"/>
        <w:ind w:firstLine="560" w:firstLineChars="200"/>
        <w:rPr>
          <w:rFonts w:hint="eastAsia"/>
        </w:rPr>
      </w:pPr>
      <w:r>
        <w:rPr>
          <w:rFonts w:hint="eastAsia"/>
          <w:lang w:val="en-US" w:eastAsia="zh-CN"/>
        </w:rPr>
        <w:t>发现异常后，使用概率图模型对测点数据进行处理，分析可能造成的风险隐患及其</w:t>
      </w:r>
      <w:r>
        <w:rPr>
          <w:rFonts w:hint="eastAsia"/>
        </w:rPr>
        <w:t>概率。</w:t>
      </w:r>
    </w:p>
    <w:p w14:paraId="316D7128">
      <w:pPr>
        <w:pStyle w:val="11"/>
        <w:ind w:firstLine="560" w:firstLineChars="200"/>
      </w:pPr>
    </w:p>
    <w:p w14:paraId="76F39351">
      <w:pPr>
        <w:pStyle w:val="11"/>
        <w:ind w:firstLine="560" w:firstLineChars="200"/>
        <w:rPr>
          <w:color w:val="auto"/>
        </w:rPr>
      </w:pPr>
      <w:r>
        <w:rPr>
          <w:rFonts w:hint="eastAsia"/>
          <w:lang w:val="en-US" w:eastAsia="zh-CN"/>
        </w:rPr>
        <w:t>7</w:t>
      </w:r>
      <w:r>
        <w:rPr>
          <w:rFonts w:hint="eastAsia"/>
        </w:rPr>
        <w:t>、</w:t>
      </w:r>
      <w:r>
        <w:rPr>
          <w:rFonts w:hint="eastAsia"/>
          <w:color w:val="auto"/>
        </w:rPr>
        <w:t>一种基于水电机组的风险预测系统，所述系统用于对水电机组设备进行风险隐患预测，其特征在于，包括：</w:t>
      </w:r>
    </w:p>
    <w:p w14:paraId="79677D96">
      <w:pPr>
        <w:pStyle w:val="11"/>
        <w:ind w:firstLine="560" w:firstLineChars="200"/>
      </w:pPr>
      <w:r>
        <w:rPr>
          <w:rFonts w:hint="eastAsia"/>
        </w:rPr>
        <w:t>获取模块，用于获取水电机组的运行数据，并依据所述运行数据进行处理得到局部异常度和整体健康度；</w:t>
      </w:r>
    </w:p>
    <w:p w14:paraId="1249EABE">
      <w:pPr>
        <w:pStyle w:val="11"/>
        <w:ind w:firstLine="560" w:firstLineChars="200"/>
      </w:pPr>
      <w:r>
        <w:rPr>
          <w:rFonts w:hint="eastAsia"/>
        </w:rPr>
        <w:t>隐患概率模块，用于依据所述局部异常度和所述整体健康度得到</w:t>
      </w:r>
      <w:r>
        <w:rPr>
          <w:rFonts w:hint="eastAsia"/>
          <w:color w:val="auto"/>
        </w:rPr>
        <w:t>水电机组</w:t>
      </w:r>
      <w:r>
        <w:rPr>
          <w:rFonts w:hint="eastAsia"/>
        </w:rPr>
        <w:t>风险隐患的概率。</w:t>
      </w:r>
    </w:p>
    <w:p w14:paraId="38BF2941">
      <w:pPr>
        <w:pStyle w:val="11"/>
        <w:spacing w:before="250" w:beforeLines="50"/>
        <w:ind w:firstLine="560" w:firstLineChars="200"/>
        <w:rPr>
          <w:color w:val="auto"/>
        </w:rPr>
      </w:pPr>
      <w:r>
        <w:rPr>
          <w:rFonts w:hint="eastAsia"/>
          <w:color w:val="auto"/>
          <w:lang w:val="en-US" w:eastAsia="zh-CN"/>
        </w:rPr>
        <w:t>8</w:t>
      </w:r>
      <w:r>
        <w:rPr>
          <w:rFonts w:hint="eastAsia"/>
          <w:color w:val="auto"/>
        </w:rPr>
        <w:t>、一种</w:t>
      </w:r>
      <w:r>
        <w:rPr>
          <w:color w:val="auto"/>
        </w:rPr>
        <w:t>电子设备，其特征在于，包括处理器、存储器及存储在所述存储器上并能够在所述处理器上运行的计算机程序，所述计算机程序被所述处理器执行时实现如权利要求1至</w:t>
      </w:r>
      <w:r>
        <w:rPr>
          <w:rFonts w:hint="eastAsia"/>
          <w:color w:val="auto"/>
          <w:lang w:val="en-US" w:eastAsia="zh-CN"/>
        </w:rPr>
        <w:t>6</w:t>
      </w:r>
      <w:r>
        <w:rPr>
          <w:color w:val="auto"/>
        </w:rPr>
        <w:t>中任一项所述的</w:t>
      </w:r>
      <w:r>
        <w:rPr>
          <w:rFonts w:hint="eastAsia"/>
          <w:color w:val="auto"/>
        </w:rPr>
        <w:t>基于水电机组的风险预测方法</w:t>
      </w:r>
      <w:r>
        <w:rPr>
          <w:color w:val="auto"/>
        </w:rPr>
        <w:t>的步骤。</w:t>
      </w:r>
    </w:p>
    <w:p w14:paraId="189E7F3A">
      <w:pPr>
        <w:pStyle w:val="11"/>
        <w:spacing w:before="250" w:beforeLines="50"/>
        <w:ind w:firstLine="560" w:firstLineChars="200"/>
        <w:rPr>
          <w:color w:val="auto"/>
        </w:rPr>
      </w:pPr>
      <w:r>
        <w:rPr>
          <w:rFonts w:hint="eastAsia"/>
          <w:color w:val="auto"/>
          <w:lang w:val="en-US" w:eastAsia="zh-CN"/>
        </w:rPr>
        <w:t>9</w:t>
      </w:r>
      <w:r>
        <w:rPr>
          <w:color w:val="auto"/>
        </w:rPr>
        <w:t>、</w:t>
      </w:r>
      <w:r>
        <w:rPr>
          <w:rFonts w:hint="eastAsia"/>
          <w:color w:val="auto"/>
        </w:rPr>
        <w:t>一种</w:t>
      </w:r>
      <w:r>
        <w:rPr>
          <w:color w:val="auto"/>
        </w:rPr>
        <w:t>计算机可读存储介质，其特征在于，所述计算机可读存储介质上存储计算机程序，所述计算机程序被处理器执行时实现如权利要求1至</w:t>
      </w:r>
      <w:r>
        <w:rPr>
          <w:rFonts w:hint="eastAsia"/>
          <w:color w:val="auto"/>
          <w:lang w:val="en-US" w:eastAsia="zh-CN"/>
        </w:rPr>
        <w:t>6</w:t>
      </w:r>
      <w:r>
        <w:rPr>
          <w:color w:val="auto"/>
        </w:rPr>
        <w:t>中任一项所述的</w:t>
      </w:r>
      <w:r>
        <w:rPr>
          <w:rFonts w:hint="eastAsia"/>
          <w:color w:val="auto"/>
        </w:rPr>
        <w:t>基于水电机组的风险预测方法</w:t>
      </w:r>
      <w:r>
        <w:rPr>
          <w:color w:val="auto"/>
        </w:rPr>
        <w:t>的步骤。</w:t>
      </w:r>
    </w:p>
    <w:p w14:paraId="5DCACA81">
      <w:pPr>
        <w:pStyle w:val="11"/>
        <w:ind w:firstLine="560" w:firstLineChars="200"/>
        <w:rPr>
          <w:color w:val="auto"/>
        </w:rPr>
        <w:sectPr>
          <w:headerReference r:id="rId9" w:type="first"/>
          <w:footerReference r:id="rId11" w:type="first"/>
          <w:headerReference r:id="rId8" w:type="default"/>
          <w:footerReference r:id="rId10" w:type="default"/>
          <w:pgSz w:w="11906" w:h="16838"/>
          <w:pgMar w:top="1701" w:right="1191" w:bottom="1418" w:left="1531" w:header="851" w:footer="567" w:gutter="0"/>
          <w:lnNumType w:countBy="5"/>
          <w:pgNumType w:start="1"/>
          <w:cols w:space="720" w:num="1"/>
          <w:titlePg/>
          <w:docGrid w:type="lines" w:linePitch="500" w:charSpace="0"/>
        </w:sectPr>
      </w:pPr>
    </w:p>
    <w:p w14:paraId="3ADF35E8">
      <w:pPr>
        <w:pStyle w:val="11"/>
        <w:spacing w:before="250" w:beforeLines="50"/>
        <w:ind w:firstLine="0"/>
        <w:jc w:val="center"/>
        <w:rPr>
          <w:b/>
          <w:bCs/>
          <w:color w:val="auto"/>
          <w:sz w:val="30"/>
          <w:szCs w:val="30"/>
        </w:rPr>
      </w:pPr>
      <w:r>
        <w:rPr>
          <w:b/>
          <w:bCs/>
          <w:color w:val="auto"/>
          <w:sz w:val="30"/>
          <w:szCs w:val="30"/>
        </w:rPr>
        <w:t>一种</w:t>
      </w:r>
      <w:r>
        <w:rPr>
          <w:rFonts w:hint="eastAsia"/>
          <w:b/>
          <w:bCs/>
          <w:color w:val="auto"/>
          <w:sz w:val="30"/>
          <w:szCs w:val="30"/>
        </w:rPr>
        <w:t>基于水电机组的风险预测方法及系统</w:t>
      </w:r>
    </w:p>
    <w:p w14:paraId="2023E15F">
      <w:pPr>
        <w:pStyle w:val="11"/>
        <w:spacing w:before="250" w:beforeLines="50"/>
        <w:ind w:firstLine="0"/>
        <w:rPr>
          <w:b/>
          <w:bCs/>
          <w:color w:val="auto"/>
        </w:rPr>
      </w:pPr>
      <w:r>
        <w:rPr>
          <w:b/>
          <w:bCs/>
          <w:color w:val="auto"/>
        </w:rPr>
        <w:t>技术领域</w:t>
      </w:r>
    </w:p>
    <w:p w14:paraId="1B89B60E">
      <w:pPr>
        <w:pStyle w:val="11"/>
        <w:ind w:firstLine="560" w:firstLineChars="200"/>
        <w:rPr>
          <w:b/>
          <w:bCs/>
          <w:color w:val="auto"/>
        </w:rPr>
      </w:pPr>
      <w:r>
        <w:rPr>
          <w:color w:val="auto"/>
        </w:rPr>
        <w:t>本发明涉及</w:t>
      </w:r>
      <w:r>
        <w:rPr>
          <w:rFonts w:hint="eastAsia"/>
          <w:color w:val="auto"/>
        </w:rPr>
        <w:t>大数据，人工智能</w:t>
      </w:r>
      <w:r>
        <w:rPr>
          <w:color w:val="auto"/>
        </w:rPr>
        <w:t>领域</w:t>
      </w:r>
      <w:r>
        <w:rPr>
          <w:rFonts w:hint="eastAsia"/>
          <w:color w:val="auto"/>
        </w:rPr>
        <w:t>，具体</w:t>
      </w:r>
      <w:r>
        <w:rPr>
          <w:color w:val="auto"/>
        </w:rPr>
        <w:t>涉及一种</w:t>
      </w:r>
      <w:r>
        <w:rPr>
          <w:rFonts w:hint="eastAsia"/>
          <w:color w:val="auto"/>
        </w:rPr>
        <w:t>基于水电机组设备的风险预测方法及系统。</w:t>
      </w:r>
    </w:p>
    <w:p w14:paraId="0D1A07F0">
      <w:pPr>
        <w:pStyle w:val="11"/>
        <w:spacing w:before="250" w:beforeLines="50"/>
        <w:ind w:firstLine="0"/>
        <w:rPr>
          <w:b/>
          <w:bCs/>
          <w:color w:val="auto"/>
        </w:rPr>
      </w:pPr>
      <w:r>
        <w:rPr>
          <w:b/>
          <w:bCs/>
          <w:color w:val="auto"/>
        </w:rPr>
        <w:t>背景技术</w:t>
      </w:r>
    </w:p>
    <w:p w14:paraId="3AAF354A">
      <w:pPr>
        <w:pStyle w:val="11"/>
        <w:ind w:firstLine="567"/>
        <w:rPr>
          <w:color w:val="auto"/>
        </w:rPr>
      </w:pPr>
      <w:r>
        <w:rPr>
          <w:rFonts w:hint="eastAsia"/>
          <w:color w:val="auto"/>
        </w:rPr>
        <w:t>水电机组是一套复杂的机电系统，具有故障率高和故障危害性大的特点。因此，为了避免设备出现严重的后果，对水电机组进行实时状态监测及设备健康管理很有必要。水电机组系统设备复杂，各子系统之间以及子系统与系统之间关联性强，各功能部件相互协作，任何一个功能失效都会造成整个系统瘫痪。</w:t>
      </w:r>
    </w:p>
    <w:p w14:paraId="6E9C2D13">
      <w:pPr>
        <w:pStyle w:val="11"/>
        <w:ind w:firstLine="567"/>
        <w:rPr>
          <w:color w:val="auto"/>
        </w:rPr>
      </w:pPr>
      <w:r>
        <w:rPr>
          <w:rFonts w:hint="eastAsia"/>
          <w:color w:val="auto"/>
        </w:rPr>
        <w:t>目前行业主流的数据挖掘分析方法相对滞后</w:t>
      </w:r>
      <w:r>
        <w:rPr>
          <w:rFonts w:hint="eastAsia"/>
          <w:color w:val="auto"/>
          <w:highlight w:val="none"/>
        </w:rPr>
        <w:t>，大多数判断依靠专家经验，无法发挥数据本身的价值以挖掘其中的数据规律，弥补专家经验考虑不充分，无法穷举所有情况的不足。一个</w:t>
      </w:r>
      <w:r>
        <w:rPr>
          <w:rFonts w:hint="eastAsia"/>
          <w:color w:val="auto"/>
        </w:rPr>
        <w:t>专业稳定的业务模型需要花费大量的时间去梳理，建模和验证，并没有通过大数据技术将人力资源释放，同时对于大型水电站而言，设备数量多，设备复杂度高，需要建立大量的业务模型，因此对运维人员而言数据分析工作量巨大。</w:t>
      </w:r>
    </w:p>
    <w:p w14:paraId="787A1FE5">
      <w:pPr>
        <w:pStyle w:val="11"/>
        <w:spacing w:before="250" w:beforeLines="50"/>
        <w:ind w:firstLine="0"/>
        <w:rPr>
          <w:b/>
          <w:bCs/>
          <w:color w:val="auto"/>
        </w:rPr>
      </w:pPr>
      <w:r>
        <w:rPr>
          <w:b/>
          <w:bCs/>
          <w:color w:val="auto"/>
        </w:rPr>
        <w:t>发明内容</w:t>
      </w:r>
    </w:p>
    <w:p w14:paraId="002686E9">
      <w:pPr>
        <w:pStyle w:val="11"/>
        <w:ind w:firstLine="560" w:firstLineChars="200"/>
        <w:rPr>
          <w:color w:val="auto"/>
        </w:rPr>
      </w:pPr>
      <w:r>
        <w:rPr>
          <w:color w:val="auto"/>
        </w:rPr>
        <w:t>鉴于所述问题，提出了本申请</w:t>
      </w:r>
      <w:r>
        <w:rPr>
          <w:rFonts w:hint="eastAsia"/>
          <w:color w:val="auto"/>
        </w:rPr>
        <w:t>，</w:t>
      </w:r>
      <w:r>
        <w:rPr>
          <w:color w:val="auto"/>
        </w:rPr>
        <w:t>一种</w:t>
      </w:r>
      <w:r>
        <w:rPr>
          <w:rFonts w:hint="eastAsia"/>
          <w:color w:val="auto"/>
        </w:rPr>
        <w:t>基于水电机组的风险预测方法及系统</w:t>
      </w:r>
      <w:r>
        <w:rPr>
          <w:color w:val="auto"/>
        </w:rPr>
        <w:t>，包括：</w:t>
      </w:r>
    </w:p>
    <w:p w14:paraId="61124FB7">
      <w:pPr>
        <w:pStyle w:val="11"/>
        <w:ind w:firstLine="560" w:firstLineChars="200"/>
        <w:rPr>
          <w:color w:val="auto"/>
        </w:rPr>
      </w:pPr>
      <w:r>
        <w:rPr>
          <w:color w:val="auto"/>
        </w:rPr>
        <w:t>一种</w:t>
      </w:r>
      <w:r>
        <w:rPr>
          <w:rFonts w:hint="eastAsia"/>
          <w:color w:val="auto"/>
        </w:rPr>
        <w:t>基于水电机组的风险预测方法，所述方法用于对水电机组设备进行风险隐患预测，包括：</w:t>
      </w:r>
    </w:p>
    <w:p w14:paraId="16890CBB">
      <w:pPr>
        <w:pStyle w:val="11"/>
        <w:ind w:firstLine="560" w:firstLineChars="200"/>
      </w:pPr>
      <w:r>
        <w:rPr>
          <w:rFonts w:hint="eastAsia"/>
        </w:rPr>
        <w:t>获取水电机组的运行数据，依据所述运行数据进行处理得到局部异常度和整体健康度；</w:t>
      </w:r>
    </w:p>
    <w:p w14:paraId="22BA1D5B">
      <w:pPr>
        <w:pStyle w:val="11"/>
        <w:ind w:firstLine="560" w:firstLineChars="200"/>
      </w:pPr>
      <w:r>
        <w:rPr>
          <w:rFonts w:hint="eastAsia"/>
        </w:rPr>
        <w:t>依据所述局部异常度和所述整体健康度得到</w:t>
      </w:r>
      <w:r>
        <w:rPr>
          <w:rFonts w:hint="eastAsia"/>
          <w:color w:val="auto"/>
        </w:rPr>
        <w:t>水电机组</w:t>
      </w:r>
      <w:r>
        <w:rPr>
          <w:rFonts w:hint="eastAsia"/>
        </w:rPr>
        <w:t>风险隐患的概率。</w:t>
      </w:r>
    </w:p>
    <w:p w14:paraId="5904E11B">
      <w:pPr>
        <w:pStyle w:val="11"/>
        <w:ind w:firstLine="560" w:firstLineChars="200"/>
      </w:pPr>
      <w:r>
        <w:rPr>
          <w:rFonts w:hint="eastAsia"/>
        </w:rPr>
        <w:t>优选地，所述依据所述运行数据进行处理得到局部异常度和整体健康度的步骤，包括：</w:t>
      </w:r>
    </w:p>
    <w:p w14:paraId="2B3CB9BA">
      <w:pPr>
        <w:pStyle w:val="11"/>
        <w:ind w:firstLine="560" w:firstLineChars="200"/>
      </w:pPr>
      <w:r>
        <w:rPr>
          <w:rFonts w:hint="eastAsia"/>
        </w:rPr>
        <w:t>依据所述运行数据进行处理得到初始数据；其中，所述初始数据包括初始水轮发电机数据，初始负荷数据以及初始环境温度数据；</w:t>
      </w:r>
    </w:p>
    <w:p w14:paraId="53ADE425">
      <w:pPr>
        <w:pStyle w:val="11"/>
        <w:ind w:firstLine="560" w:firstLineChars="200"/>
      </w:pPr>
      <w:r>
        <w:rPr>
          <w:rFonts w:hint="eastAsia"/>
        </w:rPr>
        <w:t>依据所述初始数据得到局部异常度和整体健康度。</w:t>
      </w:r>
    </w:p>
    <w:p w14:paraId="51163589">
      <w:pPr>
        <w:pStyle w:val="11"/>
        <w:ind w:firstLine="560" w:firstLineChars="200"/>
      </w:pPr>
      <w:r>
        <w:rPr>
          <w:rFonts w:hint="eastAsia"/>
        </w:rPr>
        <w:t>优选地，所述依据所述初始数据得到局部异常度和整体健康度的步骤，包括：</w:t>
      </w:r>
    </w:p>
    <w:p w14:paraId="5C10974B">
      <w:pPr>
        <w:pStyle w:val="11"/>
        <w:ind w:firstLine="560" w:firstLineChars="200"/>
      </w:pPr>
      <w:r>
        <w:rPr>
          <w:rFonts w:hint="eastAsia"/>
        </w:rPr>
        <w:t>依据所述初始水轮发电机数据和初始负荷数据进行单测点分析得到局部异常度；</w:t>
      </w:r>
    </w:p>
    <w:p w14:paraId="0388FFE0">
      <w:pPr>
        <w:pStyle w:val="11"/>
        <w:ind w:firstLine="560" w:firstLineChars="200"/>
      </w:pPr>
      <w:r>
        <w:rPr>
          <w:rFonts w:hint="eastAsia"/>
        </w:rPr>
        <w:t>依据所述初始水轮发电机数据，所述初始负荷数据以及所述初始环境温度数据进行多测点分析得到整体健康度。</w:t>
      </w:r>
    </w:p>
    <w:p w14:paraId="39CCEFDE">
      <w:pPr>
        <w:pStyle w:val="11"/>
        <w:ind w:firstLine="560" w:firstLineChars="200"/>
        <w:rPr>
          <w:color w:val="auto"/>
        </w:rPr>
      </w:pPr>
      <w:r>
        <w:rPr>
          <w:rFonts w:hint="eastAsia"/>
        </w:rPr>
        <w:t>优选地，</w:t>
      </w:r>
      <w:r>
        <w:rPr>
          <w:rFonts w:hint="eastAsia"/>
          <w:color w:val="auto"/>
        </w:rPr>
        <w:t>所述</w:t>
      </w:r>
      <w:r>
        <w:rPr>
          <w:rFonts w:hint="eastAsia"/>
        </w:rPr>
        <w:t>依据所述初始水轮发电机数据和初始负荷数据进行单测点分析得到局部异常度</w:t>
      </w:r>
      <w:r>
        <w:rPr>
          <w:rFonts w:hint="eastAsia"/>
          <w:color w:val="auto"/>
        </w:rPr>
        <w:t>的</w:t>
      </w:r>
      <w:r>
        <w:rPr>
          <w:rFonts w:hint="eastAsia"/>
        </w:rPr>
        <w:t>步骤，包括：</w:t>
      </w:r>
    </w:p>
    <w:p w14:paraId="061AFA08">
      <w:pPr>
        <w:pStyle w:val="11"/>
        <w:ind w:firstLine="560" w:firstLineChars="200"/>
      </w:pPr>
      <w:r>
        <w:rPr>
          <w:rFonts w:hint="eastAsia"/>
        </w:rPr>
        <w:t>依据所述初始水轮发电机数据</w:t>
      </w:r>
      <w:r>
        <w:rPr>
          <w:rFonts w:hint="eastAsia"/>
          <w:lang w:eastAsia="zh-CN"/>
        </w:rPr>
        <w:t>、</w:t>
      </w:r>
      <w:r>
        <w:rPr>
          <w:rFonts w:hint="eastAsia"/>
        </w:rPr>
        <w:t>初始负荷数据和预设单测点模型得到目标状态量；</w:t>
      </w:r>
    </w:p>
    <w:p w14:paraId="53F6CB57">
      <w:pPr>
        <w:pStyle w:val="11"/>
        <w:ind w:firstLine="560" w:firstLineChars="200"/>
      </w:pPr>
      <w:r>
        <w:rPr>
          <w:rFonts w:hint="eastAsia"/>
        </w:rPr>
        <w:t>依据所述目标状态量和标准状态量进行比对得到所述局部异常度。</w:t>
      </w:r>
    </w:p>
    <w:p w14:paraId="3DE3988E">
      <w:pPr>
        <w:pStyle w:val="11"/>
        <w:ind w:firstLine="560" w:firstLineChars="200"/>
      </w:pPr>
      <w:r>
        <w:rPr>
          <w:rFonts w:hint="eastAsia"/>
        </w:rPr>
        <w:t>优选地，所述依据所述初始水轮发电机数据，所述初始负荷数据以及所述初始环境温度数据进行多测点分析得到整体健康度的步骤，包括：</w:t>
      </w:r>
    </w:p>
    <w:p w14:paraId="5F605228">
      <w:pPr>
        <w:pStyle w:val="11"/>
        <w:ind w:firstLine="560" w:firstLineChars="200"/>
      </w:pPr>
      <w:r>
        <w:rPr>
          <w:rFonts w:hint="eastAsia"/>
        </w:rPr>
        <w:t>依据所述初始水轮发电机数据，所述初始负荷数据以及所述初始环境温度数据输入预设多测点模型得到预测健康度；</w:t>
      </w:r>
    </w:p>
    <w:p w14:paraId="0D3CA8D1">
      <w:pPr>
        <w:pStyle w:val="11"/>
        <w:ind w:firstLine="560" w:firstLineChars="200"/>
      </w:pPr>
      <w:r>
        <w:rPr>
          <w:rFonts w:hint="eastAsia"/>
        </w:rPr>
        <w:t>依据所述预测健康度和标准健康度进行比对得到整体健康度。</w:t>
      </w:r>
    </w:p>
    <w:p w14:paraId="6B251D0F">
      <w:pPr>
        <w:pStyle w:val="11"/>
        <w:ind w:firstLine="560" w:firstLineChars="200"/>
        <w:rPr>
          <w:rFonts w:hint="eastAsia"/>
        </w:rPr>
      </w:pPr>
      <w:r>
        <w:rPr>
          <w:rFonts w:hint="eastAsia"/>
        </w:rPr>
        <w:t>优选地，</w:t>
      </w:r>
      <w:r>
        <w:rPr>
          <w:rFonts w:hint="eastAsia"/>
          <w:color w:val="auto"/>
        </w:rPr>
        <w:t>所述</w:t>
      </w:r>
      <w:r>
        <w:rPr>
          <w:rFonts w:hint="eastAsia"/>
        </w:rPr>
        <w:t>依据所述局部异常度和所述整体健康度得到</w:t>
      </w:r>
      <w:r>
        <w:rPr>
          <w:rFonts w:hint="eastAsia"/>
          <w:color w:val="auto"/>
        </w:rPr>
        <w:t>水电机组</w:t>
      </w:r>
      <w:r>
        <w:rPr>
          <w:rFonts w:hint="eastAsia"/>
        </w:rPr>
        <w:t>风险隐患的概率的步骤，包括：</w:t>
      </w:r>
    </w:p>
    <w:p w14:paraId="3F95948B">
      <w:pPr>
        <w:pStyle w:val="11"/>
        <w:ind w:firstLine="560" w:firstLineChars="200"/>
        <w:rPr>
          <w:rFonts w:hint="eastAsia"/>
          <w:lang w:val="en-US" w:eastAsia="zh-CN"/>
        </w:rPr>
      </w:pPr>
      <w:r>
        <w:rPr>
          <w:rFonts w:hint="eastAsia"/>
        </w:rPr>
        <w:t>将</w:t>
      </w:r>
      <w:r>
        <w:rPr>
          <w:rFonts w:hint="eastAsia"/>
          <w:lang w:val="en-US" w:eastAsia="zh-CN"/>
        </w:rPr>
        <w:t>单测点预警预测模型的</w:t>
      </w:r>
      <w:r>
        <w:rPr>
          <w:rFonts w:hint="eastAsia"/>
        </w:rPr>
        <w:t>局部异常度</w:t>
      </w:r>
      <w:r>
        <w:rPr>
          <w:rFonts w:hint="eastAsia"/>
          <w:lang w:eastAsia="zh-CN"/>
        </w:rPr>
        <w:t>、</w:t>
      </w:r>
      <w:r>
        <w:rPr>
          <w:rFonts w:hint="eastAsia"/>
          <w:lang w:val="en-US" w:eastAsia="zh-CN"/>
        </w:rPr>
        <w:t>多测点预警预测模型的局部异常度和</w:t>
      </w:r>
      <w:r>
        <w:rPr>
          <w:rFonts w:hint="eastAsia"/>
        </w:rPr>
        <w:t>整体健康度</w:t>
      </w:r>
      <w:r>
        <w:rPr>
          <w:rFonts w:hint="eastAsia"/>
          <w:lang w:val="en-US" w:eastAsia="zh-CN"/>
        </w:rPr>
        <w:t>输入集成模型，得到整个水电机组健康状态；</w:t>
      </w:r>
    </w:p>
    <w:p w14:paraId="2EB47FEC">
      <w:pPr>
        <w:pStyle w:val="11"/>
        <w:ind w:firstLine="560" w:firstLineChars="200"/>
        <w:rPr>
          <w:rFonts w:hint="eastAsia"/>
        </w:rPr>
      </w:pPr>
      <w:r>
        <w:rPr>
          <w:rFonts w:hint="eastAsia"/>
          <w:lang w:val="en-US" w:eastAsia="zh-CN"/>
        </w:rPr>
        <w:t>发现异常后，使用概率图模型对测点数据进行处理，分析可能造成的风险隐患及其</w:t>
      </w:r>
      <w:r>
        <w:rPr>
          <w:rFonts w:hint="eastAsia"/>
        </w:rPr>
        <w:t>概率。</w:t>
      </w:r>
    </w:p>
    <w:p w14:paraId="61EEEECC">
      <w:pPr>
        <w:pStyle w:val="11"/>
        <w:ind w:firstLine="560" w:firstLineChars="200"/>
        <w:rPr>
          <w:color w:val="auto"/>
        </w:rPr>
      </w:pPr>
      <w:r>
        <w:rPr>
          <w:rFonts w:hint="eastAsia"/>
          <w:color w:val="auto"/>
        </w:rPr>
        <w:t>为实现本申请还包括一种基于水电机组的风险预测的系统，所述系统用于对水电机组设备进行风险隐患预测，包括：</w:t>
      </w:r>
    </w:p>
    <w:p w14:paraId="264BF116">
      <w:pPr>
        <w:pStyle w:val="11"/>
        <w:ind w:firstLine="560" w:firstLineChars="200"/>
      </w:pPr>
      <w:r>
        <w:rPr>
          <w:rFonts w:hint="eastAsia"/>
        </w:rPr>
        <w:t>获取模块，用于获取水电机组的运行数据，并依据所述运行数据进行处理得到局部异常度和整体健康度；</w:t>
      </w:r>
    </w:p>
    <w:p w14:paraId="4A6C9ED3">
      <w:pPr>
        <w:pStyle w:val="11"/>
        <w:ind w:firstLine="560"/>
        <w:rPr>
          <w:color w:val="auto"/>
        </w:rPr>
      </w:pPr>
      <w:r>
        <w:rPr>
          <w:rFonts w:hint="eastAsia"/>
        </w:rPr>
        <w:t>隐患概率模块，用于依据所述局部异常度和所述整体健康度得到</w:t>
      </w:r>
      <w:r>
        <w:rPr>
          <w:rFonts w:hint="eastAsia"/>
          <w:color w:val="auto"/>
        </w:rPr>
        <w:t>水电机组</w:t>
      </w:r>
      <w:r>
        <w:rPr>
          <w:rFonts w:hint="eastAsia"/>
        </w:rPr>
        <w:t>风险隐患的概率。</w:t>
      </w:r>
    </w:p>
    <w:p w14:paraId="4415E995">
      <w:pPr>
        <w:pStyle w:val="11"/>
        <w:ind w:firstLine="560"/>
        <w:rPr>
          <w:color w:val="auto"/>
        </w:rPr>
      </w:pPr>
      <w:r>
        <w:rPr>
          <w:rFonts w:hint="eastAsia"/>
          <w:color w:val="auto"/>
        </w:rPr>
        <w:t>为实现本申请还包括一种</w:t>
      </w:r>
      <w:r>
        <w:rPr>
          <w:color w:val="auto"/>
        </w:rPr>
        <w:t>电子设备，包括处理器、存储器及存储在所述存储器上并能够在所述处理器上运行的计算机程序，所述计算机程序被所述处理器执行时实现如所述的</w:t>
      </w:r>
      <w:r>
        <w:rPr>
          <w:rFonts w:hint="eastAsia"/>
          <w:color w:val="auto"/>
        </w:rPr>
        <w:t>基于水电机组的风险预测方法</w:t>
      </w:r>
      <w:r>
        <w:rPr>
          <w:color w:val="auto"/>
        </w:rPr>
        <w:t>的步骤。</w:t>
      </w:r>
    </w:p>
    <w:p w14:paraId="17AEC64F">
      <w:pPr>
        <w:pStyle w:val="11"/>
        <w:spacing w:line="480" w:lineRule="atLeast"/>
        <w:rPr>
          <w:color w:val="auto"/>
        </w:rPr>
      </w:pPr>
      <w:r>
        <w:rPr>
          <w:rFonts w:hint="eastAsia"/>
          <w:color w:val="auto"/>
        </w:rPr>
        <w:t>为实现本申请还包括一种</w:t>
      </w:r>
      <w:r>
        <w:rPr>
          <w:color w:val="auto"/>
        </w:rPr>
        <w:t>计算机可读存储介质，所述计算机可读存储介质上存储计算机程序，所述计算机程序被处理器执行时实现如所述的</w:t>
      </w:r>
      <w:r>
        <w:rPr>
          <w:rFonts w:hint="eastAsia"/>
          <w:color w:val="auto"/>
        </w:rPr>
        <w:t>基于水电机组的风险预测方法</w:t>
      </w:r>
      <w:r>
        <w:rPr>
          <w:color w:val="auto"/>
        </w:rPr>
        <w:t>的步骤。</w:t>
      </w:r>
    </w:p>
    <w:p w14:paraId="26FA7BA0">
      <w:pPr>
        <w:pStyle w:val="11"/>
        <w:spacing w:before="250" w:beforeLines="50" w:line="480" w:lineRule="atLeast"/>
        <w:rPr>
          <w:color w:val="auto"/>
        </w:rPr>
      </w:pPr>
      <w:r>
        <w:rPr>
          <w:color w:val="auto"/>
        </w:rPr>
        <w:t>本申请具有以下优点：</w:t>
      </w:r>
    </w:p>
    <w:p w14:paraId="72656211">
      <w:pPr>
        <w:pStyle w:val="11"/>
        <w:ind w:firstLine="567"/>
        <w:rPr>
          <w:color w:val="auto"/>
        </w:rPr>
      </w:pPr>
      <w:r>
        <w:rPr>
          <w:color w:val="auto"/>
        </w:rPr>
        <w:t>在本申请的实施例中</w:t>
      </w:r>
      <w:bookmarkStart w:id="0" w:name="OLE_LINK1"/>
      <w:r>
        <w:rPr>
          <w:color w:val="auto"/>
        </w:rPr>
        <w:t>，</w:t>
      </w:r>
      <w:r>
        <w:rPr>
          <w:rFonts w:hint="eastAsia"/>
          <w:color w:val="auto"/>
        </w:rPr>
        <w:t>相对于现有技术中的“大多数判断依靠专家经验，无法发挥数据本身的</w:t>
      </w:r>
      <w:r>
        <w:rPr>
          <w:rFonts w:hint="eastAsia"/>
          <w:color w:val="auto"/>
          <w:highlight w:val="none"/>
        </w:rPr>
        <w:t>价值以挖掘其中的数据规</w:t>
      </w:r>
      <w:r>
        <w:rPr>
          <w:rFonts w:hint="eastAsia"/>
          <w:color w:val="auto"/>
        </w:rPr>
        <w:t>律，弥补专家经验考虑不充分，无法穷举所有情况的不足。一个专业稳定的业务模型需要花费大量的时间去梳理，建模和验证，并没有通过大数据技术将人力资源释放，同时对于大型水电站而言，设备数量多，设备复杂度高，需要建立大量的业务模型，因此对运维人员而言数据分析工作量巨大。”，本申请提供了“为实现水电设备健康预警分析智能化应用，首先以单变量测点，多变量测点构建健康度偏离度评估设备风险趋势模型，然后在此基础上构建融合集成模型，</w:t>
      </w:r>
      <w:r>
        <w:rPr>
          <w:rFonts w:hint="eastAsia"/>
          <w:color w:val="auto"/>
          <w:lang w:val="en-US" w:eastAsia="zh-CN"/>
        </w:rPr>
        <w:t>形成</w:t>
      </w:r>
      <w:r>
        <w:rPr>
          <w:rFonts w:hint="eastAsia"/>
          <w:color w:val="auto"/>
        </w:rPr>
        <w:t>最终</w:t>
      </w:r>
      <w:r>
        <w:rPr>
          <w:rFonts w:hint="eastAsia"/>
          <w:color w:val="auto"/>
          <w:lang w:val="en-US" w:eastAsia="zh-CN"/>
        </w:rPr>
        <w:t>异常</w:t>
      </w:r>
      <w:r>
        <w:rPr>
          <w:rFonts w:hint="eastAsia"/>
          <w:color w:val="auto"/>
        </w:rPr>
        <w:t>预警结论</w:t>
      </w:r>
      <w:r>
        <w:rPr>
          <w:rFonts w:hint="eastAsia"/>
          <w:color w:val="auto"/>
          <w:lang w:eastAsia="zh-CN"/>
        </w:rPr>
        <w:t>，</w:t>
      </w:r>
      <w:r>
        <w:rPr>
          <w:rFonts w:hint="eastAsia"/>
          <w:color w:val="auto"/>
          <w:lang w:val="en-US" w:eastAsia="zh-CN"/>
        </w:rPr>
        <w:t>最后使用概率图模型分析潜在隐患</w:t>
      </w:r>
      <w:r>
        <w:rPr>
          <w:rFonts w:hint="eastAsia"/>
          <w:color w:val="auto"/>
        </w:rPr>
        <w:t>”的解决方案，具体为：获取水电机组的运行数据，依据所述运行数据进行处理得到局部异常度和整体健康度；依据所述局部异常度和所述整体健康度得到水电机组风险隐患的概率。本申请通过基于大数据和AI的方式研究实现了水电机组设备的健康管理体系，通过水电机组设备健康预警预测模型体系</w:t>
      </w:r>
      <w:r>
        <w:rPr>
          <w:rFonts w:hint="eastAsia"/>
          <w:color w:val="auto"/>
          <w:lang w:eastAsia="zh-CN"/>
        </w:rPr>
        <w:t>、</w:t>
      </w:r>
      <w:r>
        <w:rPr>
          <w:rFonts w:hint="eastAsia"/>
          <w:color w:val="auto"/>
        </w:rPr>
        <w:t>设备测点预警预测模型</w:t>
      </w:r>
      <w:r>
        <w:rPr>
          <w:rFonts w:hint="eastAsia"/>
          <w:color w:val="auto"/>
          <w:lang w:eastAsia="zh-CN"/>
        </w:rPr>
        <w:t>、</w:t>
      </w:r>
      <w:r>
        <w:rPr>
          <w:rFonts w:hint="eastAsia"/>
          <w:color w:val="auto"/>
        </w:rPr>
        <w:t>劣化趋势模型</w:t>
      </w:r>
      <w:r>
        <w:rPr>
          <w:rFonts w:hint="eastAsia"/>
          <w:color w:val="auto"/>
          <w:lang w:eastAsia="zh-CN"/>
        </w:rPr>
        <w:t>、</w:t>
      </w:r>
      <w:r>
        <w:rPr>
          <w:rFonts w:hint="eastAsia"/>
          <w:color w:val="auto"/>
        </w:rPr>
        <w:t>数据趋势分析模型，构建</w:t>
      </w:r>
      <w:r>
        <w:rPr>
          <w:rFonts w:hint="eastAsia"/>
          <w:color w:val="auto"/>
          <w:lang w:val="en-US" w:eastAsia="zh-CN"/>
        </w:rPr>
        <w:t>了</w:t>
      </w:r>
      <w:r>
        <w:rPr>
          <w:rFonts w:hint="eastAsia"/>
          <w:color w:val="auto"/>
        </w:rPr>
        <w:t>完整</w:t>
      </w:r>
      <w:r>
        <w:rPr>
          <w:rFonts w:hint="eastAsia"/>
          <w:color w:val="auto"/>
          <w:lang w:val="en-US" w:eastAsia="zh-CN"/>
        </w:rPr>
        <w:t>的</w:t>
      </w:r>
      <w:r>
        <w:rPr>
          <w:rFonts w:hint="eastAsia"/>
          <w:color w:val="auto"/>
        </w:rPr>
        <w:t>基于大数据的机组健康风险管理体系，完成提高水电机组早期缺陷劣化方向的精准研判，提高水电机组健康管理智能化水平；机组的设备健康预警预测体系，利用人工智能结合大数据分析，真正做到挖掘数据规律，从数据角度说话，推断设备风险状态隐患的概率，做到了事前防范；机组预警预测分析体系，计算部分系统自动执行，通过数据解释性，模型解释性和少量人员经验参与，减少人工经验判断带来的偏差，提高趋势判断依据，减少分析工作。</w:t>
      </w:r>
    </w:p>
    <w:bookmarkEnd w:id="0"/>
    <w:p w14:paraId="3670282D">
      <w:pPr>
        <w:pStyle w:val="11"/>
        <w:tabs>
          <w:tab w:val="left" w:pos="3000"/>
        </w:tabs>
        <w:spacing w:before="250" w:beforeLines="50"/>
        <w:ind w:firstLine="0"/>
        <w:rPr>
          <w:color w:val="auto"/>
        </w:rPr>
      </w:pPr>
      <w:r>
        <w:rPr>
          <w:b/>
          <w:bCs/>
          <w:color w:val="auto"/>
        </w:rPr>
        <w:t>附图说明</w:t>
      </w:r>
      <w:r>
        <w:rPr>
          <w:b/>
          <w:bCs/>
          <w:color w:val="auto"/>
        </w:rPr>
        <w:tab/>
      </w:r>
    </w:p>
    <w:p w14:paraId="07C225E3">
      <w:pPr>
        <w:pStyle w:val="11"/>
        <w:spacing w:line="480" w:lineRule="atLeast"/>
        <w:ind w:firstLine="560" w:firstLineChars="200"/>
        <w:rPr>
          <w:color w:val="auto"/>
        </w:rPr>
      </w:pPr>
      <w:r>
        <w:rPr>
          <w:rFonts w:hint="eastAsia"/>
          <w:color w:val="auto"/>
        </w:rPr>
        <w:t>为了更清楚地说明本申请的技术方案，下面将对本申请的描述中所需要使用的附图作简单地介绍，显而易见地，下面描述中的附图仅仅是本申请的一些实施例，对于本领域普通技术人员来讲，在不付出创造性劳动的前提下，还可以根据这些附图获得其他的附图。</w:t>
      </w:r>
    </w:p>
    <w:p w14:paraId="3E341948">
      <w:pPr>
        <w:pStyle w:val="11"/>
        <w:spacing w:line="480" w:lineRule="atLeast"/>
        <w:ind w:firstLine="560" w:firstLineChars="200"/>
        <w:rPr>
          <w:color w:val="auto"/>
        </w:rPr>
      </w:pPr>
      <w:r>
        <w:rPr>
          <w:rFonts w:hint="eastAsia"/>
          <w:color w:val="auto"/>
        </w:rPr>
        <w:t>图1是本申请一实施例提供的一种基于水电机组的风险预测方法的步骤流程图；</w:t>
      </w:r>
    </w:p>
    <w:p w14:paraId="6FBAB240">
      <w:pPr>
        <w:pStyle w:val="11"/>
        <w:spacing w:line="480" w:lineRule="atLeast"/>
        <w:ind w:firstLine="560" w:firstLineChars="200"/>
        <w:rPr>
          <w:color w:val="auto"/>
        </w:rPr>
      </w:pPr>
      <w:r>
        <w:rPr>
          <w:rFonts w:hint="eastAsia"/>
          <w:color w:val="auto"/>
        </w:rPr>
        <w:t>图2是本申请一实施例提供的一种基于水电机组的风险预测的系统的结构框图；</w:t>
      </w:r>
    </w:p>
    <w:p w14:paraId="68552BF2">
      <w:pPr>
        <w:pStyle w:val="11"/>
        <w:spacing w:line="480" w:lineRule="atLeast"/>
        <w:ind w:firstLine="560" w:firstLineChars="200"/>
      </w:pPr>
      <w:r>
        <w:rPr>
          <w:rFonts w:hint="eastAsia"/>
        </w:rPr>
        <w:t>图3</w:t>
      </w:r>
      <w:r>
        <w:t>是本发明一实施例提供的一种计算机设备的结构示意图</w:t>
      </w:r>
      <w:r>
        <w:rPr>
          <w:rFonts w:hint="eastAsia"/>
        </w:rPr>
        <w:t>；</w:t>
      </w:r>
    </w:p>
    <w:p w14:paraId="2683D5EE">
      <w:pPr>
        <w:pStyle w:val="11"/>
        <w:spacing w:line="480" w:lineRule="atLeast"/>
        <w:ind w:firstLine="560" w:firstLineChars="200"/>
      </w:pPr>
      <w:r>
        <w:rPr>
          <w:rFonts w:hint="eastAsia"/>
          <w:color w:val="auto"/>
        </w:rPr>
        <w:t>图4是本申请一实施例提供的一种基于水电机组的风险预测方法的逻辑架构图</w:t>
      </w:r>
      <w:r>
        <w:rPr>
          <w:rFonts w:hint="eastAsia"/>
        </w:rPr>
        <w:t>；</w:t>
      </w:r>
    </w:p>
    <w:p w14:paraId="2AB2DE55">
      <w:pPr>
        <w:pStyle w:val="11"/>
        <w:spacing w:line="480" w:lineRule="atLeast"/>
        <w:ind w:firstLine="560" w:firstLineChars="200"/>
      </w:pPr>
      <w:r>
        <w:rPr>
          <w:rFonts w:hint="eastAsia"/>
          <w:color w:val="auto"/>
        </w:rPr>
        <w:t>图5是本申请一实施例提供的一种基于水电机组的风险预测方法大数据架构图</w:t>
      </w:r>
      <w:r>
        <w:rPr>
          <w:rFonts w:hint="eastAsia"/>
        </w:rPr>
        <w:t>；</w:t>
      </w:r>
    </w:p>
    <w:p w14:paraId="2B0838AC">
      <w:pPr>
        <w:pStyle w:val="11"/>
        <w:spacing w:line="480" w:lineRule="atLeast"/>
        <w:ind w:firstLine="560" w:firstLineChars="200"/>
      </w:pPr>
      <w:r>
        <w:rPr>
          <w:rFonts w:hint="eastAsia"/>
          <w:color w:val="auto"/>
        </w:rPr>
        <w:t>图6是本申请一实施例提供的一种基于水电机组的风险预测方法整体数据流架构</w:t>
      </w:r>
      <w:r>
        <w:t>图</w:t>
      </w:r>
      <w:r>
        <w:rPr>
          <w:rFonts w:hint="eastAsia"/>
        </w:rPr>
        <w:t>；</w:t>
      </w:r>
    </w:p>
    <w:p w14:paraId="7572F77F">
      <w:pPr>
        <w:pStyle w:val="11"/>
        <w:spacing w:line="480" w:lineRule="atLeast"/>
        <w:ind w:firstLine="560" w:firstLineChars="200"/>
      </w:pPr>
      <w:r>
        <w:rPr>
          <w:rFonts w:hint="eastAsia"/>
          <w:color w:val="auto"/>
        </w:rPr>
        <w:t>图7是本申请一实施例提供的一种基于水电机组的风险预测方法的样本原理图</w:t>
      </w:r>
      <w:r>
        <w:rPr>
          <w:rFonts w:hint="eastAsia"/>
        </w:rPr>
        <w:t>；</w:t>
      </w:r>
    </w:p>
    <w:p w14:paraId="568DBB3F">
      <w:pPr>
        <w:pStyle w:val="11"/>
        <w:spacing w:line="480" w:lineRule="atLeast"/>
        <w:ind w:firstLine="560" w:firstLineChars="200"/>
        <w:rPr>
          <w:szCs w:val="28"/>
        </w:rPr>
      </w:pPr>
      <w:r>
        <w:rPr>
          <w:rFonts w:hint="eastAsia"/>
          <w:color w:val="auto"/>
        </w:rPr>
        <w:t>图8是本申请一实施例提供的一种基于水电机组的风险预测方法置信水平与置信区间关系图</w:t>
      </w:r>
      <w:r>
        <w:rPr>
          <w:rFonts w:hint="eastAsia"/>
        </w:rPr>
        <w:t>；</w:t>
      </w:r>
    </w:p>
    <w:p w14:paraId="16554053">
      <w:pPr>
        <w:pStyle w:val="11"/>
        <w:spacing w:line="480" w:lineRule="atLeast"/>
        <w:ind w:firstLine="560" w:firstLineChars="200"/>
        <w:rPr>
          <w:color w:val="auto"/>
        </w:rPr>
      </w:pPr>
      <w:r>
        <w:rPr>
          <w:rFonts w:hint="eastAsia"/>
          <w:color w:val="auto"/>
        </w:rPr>
        <w:t>图9是本申请一实施例提供的一种基于水电机组的风险预测方法的置信区间</w:t>
      </w:r>
      <w:r>
        <w:rPr>
          <w:rFonts w:hint="eastAsia"/>
        </w:rPr>
        <w:t>图；</w:t>
      </w:r>
    </w:p>
    <w:p w14:paraId="5F915ADC">
      <w:pPr>
        <w:pStyle w:val="11"/>
        <w:spacing w:line="480" w:lineRule="atLeast"/>
        <w:ind w:firstLine="560" w:firstLineChars="200"/>
        <w:rPr>
          <w:color w:val="auto"/>
        </w:rPr>
      </w:pPr>
      <w:r>
        <w:rPr>
          <w:rFonts w:hint="eastAsia"/>
          <w:color w:val="auto"/>
        </w:rPr>
        <w:t>图10是本申请一实施例提供的一种基于水电机组的风险预测方法的相关系数图；</w:t>
      </w:r>
    </w:p>
    <w:p w14:paraId="6657984A">
      <w:pPr>
        <w:pStyle w:val="11"/>
        <w:spacing w:line="480" w:lineRule="atLeast"/>
        <w:ind w:firstLine="560" w:firstLineChars="200"/>
        <w:rPr>
          <w:color w:val="auto"/>
        </w:rPr>
      </w:pPr>
      <w:r>
        <w:rPr>
          <w:rFonts w:hint="eastAsia"/>
          <w:color w:val="auto"/>
        </w:rPr>
        <w:t>图11是本申请一实施例提供的一种基于水电机组的风险预测方法的风险异常概率原理</w:t>
      </w:r>
      <w:r>
        <w:rPr>
          <w:rFonts w:hint="eastAsia"/>
        </w:rPr>
        <w:t>图；</w:t>
      </w:r>
    </w:p>
    <w:p w14:paraId="497A3E13">
      <w:pPr>
        <w:pStyle w:val="11"/>
        <w:spacing w:line="480" w:lineRule="atLeast"/>
        <w:ind w:firstLine="560" w:firstLineChars="200"/>
        <w:rPr>
          <w:color w:val="auto"/>
        </w:rPr>
      </w:pPr>
      <w:r>
        <w:rPr>
          <w:rFonts w:hint="eastAsia"/>
          <w:color w:val="auto"/>
        </w:rPr>
        <w:t>图12是本申请一实施例提供的一种基于水电机组的风险预测方法</w:t>
      </w:r>
      <w:r>
        <w:rPr>
          <w:rFonts w:hint="eastAsia"/>
        </w:rPr>
        <w:t>优化图；</w:t>
      </w:r>
    </w:p>
    <w:p w14:paraId="71AC4E05">
      <w:pPr>
        <w:pStyle w:val="11"/>
        <w:spacing w:line="480" w:lineRule="atLeast"/>
        <w:ind w:firstLine="560" w:firstLineChars="200"/>
      </w:pPr>
      <w:r>
        <w:rPr>
          <w:rFonts w:hint="eastAsia"/>
          <w:color w:val="auto"/>
        </w:rPr>
        <w:t>图13是本申请一实施例提供的一种基于水电机组的风险预测方法</w:t>
      </w:r>
      <w:r>
        <w:rPr>
          <w:rFonts w:hint="eastAsia"/>
        </w:rPr>
        <w:t>单变量偏离度健康估计图；</w:t>
      </w:r>
    </w:p>
    <w:p w14:paraId="7A39FDF7">
      <w:pPr>
        <w:pStyle w:val="11"/>
        <w:spacing w:line="480" w:lineRule="atLeast"/>
        <w:ind w:firstLine="560" w:firstLineChars="200"/>
      </w:pPr>
      <w:r>
        <w:rPr>
          <w:rFonts w:hint="eastAsia"/>
          <w:color w:val="auto"/>
        </w:rPr>
        <w:t>图14是本申请一实施例提供的一种基于水电机组的风险预测方法</w:t>
      </w:r>
      <w:r>
        <w:rPr>
          <w:rFonts w:hint="eastAsia"/>
        </w:rPr>
        <w:t>孤立随机森林对残差点的分数分布图；</w:t>
      </w:r>
    </w:p>
    <w:p w14:paraId="1DD0D927">
      <w:pPr>
        <w:pStyle w:val="11"/>
        <w:spacing w:line="480" w:lineRule="atLeast"/>
        <w:ind w:firstLine="560" w:firstLineChars="200"/>
      </w:pPr>
      <w:r>
        <w:rPr>
          <w:rFonts w:hint="eastAsia"/>
          <w:color w:val="auto"/>
        </w:rPr>
        <w:t>图15是本申请一实施例提供的一种基于水电机组的风险预测方法的多测点流程图</w:t>
      </w:r>
      <w:r>
        <w:rPr>
          <w:rFonts w:hint="eastAsia"/>
        </w:rPr>
        <w:t>；</w:t>
      </w:r>
    </w:p>
    <w:p w14:paraId="702780B6">
      <w:pPr>
        <w:pStyle w:val="11"/>
        <w:spacing w:line="480" w:lineRule="atLeast"/>
        <w:ind w:firstLine="560" w:firstLineChars="200"/>
      </w:pPr>
      <w:r>
        <w:rPr>
          <w:rFonts w:hint="eastAsia"/>
          <w:color w:val="auto"/>
        </w:rPr>
        <w:t>图16是本申请一实施例提供的一种基于水电机组的风险预测方法的SBM算法流程图</w:t>
      </w:r>
      <w:r>
        <w:rPr>
          <w:rFonts w:hint="eastAsia"/>
        </w:rPr>
        <w:t>；</w:t>
      </w:r>
    </w:p>
    <w:p w14:paraId="3681B443">
      <w:pPr>
        <w:pStyle w:val="11"/>
        <w:spacing w:line="480" w:lineRule="atLeast"/>
        <w:ind w:firstLine="560" w:firstLineChars="200"/>
        <w:rPr>
          <w:color w:val="auto"/>
        </w:rPr>
      </w:pPr>
      <w:r>
        <w:rPr>
          <w:rFonts w:hint="eastAsia"/>
          <w:color w:val="auto"/>
        </w:rPr>
        <w:t>图17是本申请一实施例提供的一种基于水电机组的风险预测方法</w:t>
      </w:r>
      <w:r>
        <w:rPr>
          <w:rFonts w:hint="eastAsia"/>
        </w:rPr>
        <w:t>超球算法算法训练原理图；</w:t>
      </w:r>
    </w:p>
    <w:p w14:paraId="28ED48C8">
      <w:pPr>
        <w:pStyle w:val="11"/>
        <w:spacing w:line="480" w:lineRule="atLeast"/>
        <w:ind w:firstLine="560" w:firstLineChars="200"/>
      </w:pPr>
      <w:r>
        <w:rPr>
          <w:rFonts w:hint="eastAsia"/>
          <w:color w:val="auto"/>
        </w:rPr>
        <w:t>图18是本申请一实施例提供的一种基于水电机组的风险预测方法LSTM算法训练原理图</w:t>
      </w:r>
      <w:r>
        <w:rPr>
          <w:rFonts w:hint="eastAsia"/>
        </w:rPr>
        <w:t>；</w:t>
      </w:r>
    </w:p>
    <w:p w14:paraId="320DDD59">
      <w:pPr>
        <w:pStyle w:val="11"/>
        <w:spacing w:line="480" w:lineRule="atLeast"/>
        <w:ind w:firstLine="560" w:firstLineChars="200"/>
      </w:pPr>
      <w:r>
        <w:rPr>
          <w:rFonts w:hint="eastAsia"/>
          <w:color w:val="auto"/>
        </w:rPr>
        <w:t>图19是本申请一实施例提供的一种基于水电机组的风险预测方法</w:t>
      </w:r>
      <w:r>
        <w:rPr>
          <w:rFonts w:hint="eastAsia"/>
        </w:rPr>
        <w:t>隐患预测整体逻辑思路图；</w:t>
      </w:r>
    </w:p>
    <w:p w14:paraId="58F17E1D">
      <w:pPr>
        <w:pStyle w:val="11"/>
        <w:spacing w:line="480" w:lineRule="atLeast"/>
        <w:ind w:firstLine="560" w:firstLineChars="200"/>
      </w:pPr>
      <w:r>
        <w:rPr>
          <w:rFonts w:hint="eastAsia"/>
          <w:color w:val="auto"/>
        </w:rPr>
        <w:t>图20是本申请一实施例提供的一种基于水电机组的风险预测方法</w:t>
      </w:r>
      <w:r>
        <w:rPr>
          <w:rFonts w:hint="eastAsia"/>
        </w:rPr>
        <w:t>贝叶斯网络图；</w:t>
      </w:r>
    </w:p>
    <w:p w14:paraId="4380161F">
      <w:pPr>
        <w:pStyle w:val="11"/>
        <w:spacing w:line="480" w:lineRule="atLeast"/>
        <w:ind w:firstLine="560" w:firstLineChars="200"/>
      </w:pPr>
      <w:r>
        <w:rPr>
          <w:rFonts w:hint="eastAsia"/>
          <w:color w:val="auto"/>
        </w:rPr>
        <w:t>图21是本申请一实施例提供的一种基于水电机组的风险预测方法</w:t>
      </w:r>
      <w:r>
        <w:rPr>
          <w:rFonts w:hint="eastAsia"/>
        </w:rPr>
        <w:t>贝叶斯网络模型业务解释性图。</w:t>
      </w:r>
    </w:p>
    <w:p w14:paraId="23DD7935">
      <w:pPr>
        <w:pStyle w:val="11"/>
        <w:spacing w:line="480" w:lineRule="atLeast"/>
        <w:ind w:firstLine="560" w:firstLineChars="200"/>
      </w:pPr>
    </w:p>
    <w:p w14:paraId="027FA6D9">
      <w:pPr>
        <w:pStyle w:val="11"/>
        <w:spacing w:before="250" w:beforeLines="50"/>
        <w:ind w:firstLine="0"/>
        <w:rPr>
          <w:b/>
          <w:bCs/>
          <w:color w:val="auto"/>
        </w:rPr>
      </w:pPr>
      <w:r>
        <w:rPr>
          <w:b/>
          <w:bCs/>
          <w:color w:val="auto"/>
        </w:rPr>
        <w:t>具体实施方式</w:t>
      </w:r>
    </w:p>
    <w:p w14:paraId="763075F8">
      <w:pPr>
        <w:pStyle w:val="11"/>
        <w:spacing w:line="480" w:lineRule="atLeast"/>
        <w:ind w:firstLine="560" w:firstLineChars="200"/>
      </w:pPr>
      <w:r>
        <w:t>为使本申请的所述目的、特征和优点能够更加明显易懂，下面结合附图和具体实施方式对本申请作进一步详细的说明。显然，所描述的实施例是本申请一部分实施例，而不是全部的实施例。基于本申请中的实施例，本领域普通技术人员在没有作出创造性劳动前提下所获得的所有其他实施例，都属于本申请保护的范围。</w:t>
      </w:r>
    </w:p>
    <w:p w14:paraId="3C2AB291">
      <w:pPr>
        <w:pStyle w:val="11"/>
        <w:spacing w:line="480" w:lineRule="atLeast"/>
        <w:ind w:firstLine="560" w:firstLineChars="200"/>
      </w:pPr>
      <w:r>
        <w:rPr>
          <w:rFonts w:hint="eastAsia"/>
        </w:rPr>
        <w:t>技术背景：水电机组是一套复杂的机电系统，具有故障率高和故障危害性大的特点。因此，为了避免设备出现严重的后果，对水电机组进行实时状态监测及设备健康管理很有必要。水电机组系统设备复杂，各子系统之间以及子系统与系统之间关联性强，各功能部件相互协作，任何一个功能失效都会造成整个系统瘫痪。</w:t>
      </w:r>
    </w:p>
    <w:p w14:paraId="4D113ED0">
      <w:pPr>
        <w:pStyle w:val="11"/>
        <w:spacing w:line="480" w:lineRule="atLeast"/>
        <w:ind w:firstLine="560" w:firstLineChars="200"/>
      </w:pPr>
      <w:r>
        <w:rPr>
          <w:rFonts w:hint="eastAsia"/>
        </w:rPr>
        <w:t>当前水电站普遍开展水电机组设备健康趋势的分析工作，在设备早期隐患发现、设备异常预测等方面取得一定成效，保障了机组的安全稳定运行。但在诊断机组健康运行方面，仍然以报警定值为辅，以人工分析为主，主要依靠运维人员用肉眼从浩瀚的设备数据中提取特征数据，发现设备异常，或者依赖专家经验对设备进行流程式建模，根据在模型中设置的阈值或条件来判断设备是否存在异常，此种模式太过于直接，也忽略了设备各部件之间的相关性。</w:t>
      </w:r>
    </w:p>
    <w:p w14:paraId="29A39F1C">
      <w:pPr>
        <w:pStyle w:val="11"/>
        <w:spacing w:line="480" w:lineRule="atLeast"/>
        <w:ind w:firstLine="560" w:firstLineChars="200"/>
      </w:pPr>
      <w:r>
        <w:rPr>
          <w:rFonts w:hint="eastAsia"/>
        </w:rPr>
        <w:t>目前基于大数据的水电机组设备健康管理存在的问题，随着传感器技术、数据采集、传输及处理技术等ITC技术的飞速发展，水电站运行过程中产生越来越多、精度越来越高的生产数据，历史数据库中存储的数据量急剧膨胀，分析并利用这样海量的数据已经远远超出了运维人员的能力，目前行业主流的数据挖掘分析方法相对滞后，无法精准的从大量生产数据中自动提取分析有价值的数据和预测信息，最大限度发挥数据价值，出现了“数据非常丰富，信息相当贫乏”的“数据坟墓”现象，导致分析平台在提前预警、早期预防、及时干预等方面存在功能缺陷，无法及时发现水轮发电机组轴承油槽油混水、轴承油槽油位下降等设备的安全隐患。</w:t>
      </w:r>
    </w:p>
    <w:p w14:paraId="051BBE15">
      <w:pPr>
        <w:pStyle w:val="11"/>
        <w:spacing w:line="480" w:lineRule="atLeast"/>
        <w:ind w:firstLine="560" w:firstLineChars="200"/>
      </w:pPr>
      <w:r>
        <w:rPr>
          <w:rFonts w:hint="eastAsia"/>
        </w:rPr>
        <w:t>由于水电站生产环境的复杂性，数据清洗任务的复杂性，一个业务模型落地需要花费大量的时间，对于水电机组设备的健康诊断模型而言，通常需要建立上千个业务模型，实施周期长且难度较大，并且专家经验是有限的，不可能穷举所有场景案例。</w:t>
      </w:r>
    </w:p>
    <w:p w14:paraId="1457D4FE">
      <w:pPr>
        <w:pStyle w:val="11"/>
        <w:spacing w:line="480" w:lineRule="atLeast"/>
        <w:ind w:firstLine="560" w:firstLineChars="200"/>
      </w:pPr>
      <w:r>
        <w:rPr>
          <w:rFonts w:hint="eastAsia"/>
        </w:rPr>
        <w:t>运行数据随着水电机组工况变化，环境变化会有变动，比如机组C修后，数据波动较大，特征空间影响较大。</w:t>
      </w:r>
    </w:p>
    <w:p w14:paraId="0892D1F1">
      <w:pPr>
        <w:pStyle w:val="11"/>
        <w:spacing w:line="480" w:lineRule="atLeast"/>
        <w:ind w:firstLine="560" w:firstLineChars="200"/>
      </w:pPr>
      <w:r>
        <w:rPr>
          <w:rFonts w:hint="eastAsia"/>
        </w:rPr>
        <w:t>水电机组设备健康管理是非常交叉的学科，涉及电气、机械、化学、大数据等，对人员素质要求极高。</w:t>
      </w:r>
    </w:p>
    <w:p w14:paraId="038CD0D6">
      <w:pPr>
        <w:pStyle w:val="11"/>
        <w:spacing w:line="480" w:lineRule="atLeast"/>
        <w:ind w:firstLine="560" w:firstLineChars="200"/>
        <w:rPr>
          <w:color w:val="auto"/>
        </w:rPr>
      </w:pPr>
      <w:r>
        <w:rPr>
          <w:rFonts w:hint="eastAsia"/>
        </w:rPr>
        <w:t>大型水电站一方面设备数量众多，数据量巨大，运维人员数据分析工作繁重，另一方面现代管理制度要求水电站实施精益化运维管理，人员配置越来越精简。海量的数据分析工作和趋于精简的人员配置之间的矛盾日益突出</w:t>
      </w:r>
      <w:r>
        <w:rPr>
          <w:rFonts w:hint="eastAsia"/>
          <w:color w:val="auto"/>
        </w:rPr>
        <w:t>。</w:t>
      </w:r>
    </w:p>
    <w:p w14:paraId="4C3463C1">
      <w:pPr>
        <w:pStyle w:val="11"/>
        <w:spacing w:line="480" w:lineRule="atLeast"/>
        <w:ind w:firstLine="560" w:firstLineChars="200"/>
        <w:rPr>
          <w:color w:val="auto"/>
        </w:rPr>
      </w:pPr>
      <w:r>
        <w:rPr>
          <w:rFonts w:hint="eastAsia"/>
          <w:color w:val="auto"/>
        </w:rPr>
        <w:t>通过大数据和人工智能技术覆盖水电机组以及水电站其他设备的状态诊断和趋势分析，主要包括：特征数据的对比分析，场景的相似度计算，隐患模式的识别分析和特征统计规律分析。目的在于评估风险，趋势预测，决策计算，可靠性指标分析，模型系统框架的自学习过程。最终实现设备隐患的预测挖掘分析，设备特征数据的趋势分析，设备健康整体评价，劣化指标分析等，形成完整闭环，提高大数据管理水电机组健康的能力，减少专家经验的干预，从数据规律本身推出初步建议，专家辅助审核，提高智能化管理能力。对于水电站的数字化建设而言，其核心本质是降低成本，提高效率，只有通过利用大数据结合AI算法挖掘数据隐患规律和趋势，才能减少人员和时间的投入，才能真正做到单体水电站的智能化，拓展到流域级别的智慧化应用。逻辑架构图如4所示。</w:t>
      </w:r>
    </w:p>
    <w:p w14:paraId="10E3BDEE">
      <w:pPr>
        <w:pStyle w:val="11"/>
        <w:spacing w:line="480" w:lineRule="atLeast"/>
        <w:ind w:firstLine="560" w:firstLineChars="200"/>
        <w:rPr>
          <w:color w:val="auto"/>
        </w:rPr>
      </w:pPr>
      <w:r>
        <w:rPr>
          <w:rFonts w:hint="eastAsia"/>
          <w:color w:val="auto"/>
        </w:rPr>
        <w:t>针对目前水电机组设备健康管理所面临的数据情况而言，所涉及的数据大致每台机组每天30GB+，整体每年属于TB级别数据，同时基于水电特殊的环境情况而言，需要考虑时序数据，原始数据，特征数据等大量的数据分析的需求，以及数据清洗，异常数据溯源等需求，所以建立的大数据架构需要满足强大的基准性，综合以上需求，整体的大数据架构图如5所示。</w:t>
      </w:r>
    </w:p>
    <w:p w14:paraId="0BFA0CA2">
      <w:pPr>
        <w:pStyle w:val="11"/>
        <w:spacing w:line="480" w:lineRule="atLeast"/>
        <w:ind w:firstLine="560" w:firstLineChars="200"/>
        <w:rPr>
          <w:color w:val="auto"/>
        </w:rPr>
      </w:pPr>
      <w:r>
        <w:rPr>
          <w:rFonts w:hint="eastAsia"/>
          <w:color w:val="auto"/>
        </w:rPr>
        <w:t>整体数据流架构以工业互联网平台为基础，实现智能应用在本身数据流向上的架构划分，不改变工业互联网架构主体。首先从大数据中心采集数据，经过数据清洗后，放入大数据平台，最终分析数据价值，应用数据。整体数据流架构如图6所示。</w:t>
      </w:r>
    </w:p>
    <w:p w14:paraId="12C36D09">
      <w:pPr>
        <w:pStyle w:val="11"/>
        <w:spacing w:line="480" w:lineRule="atLeast"/>
        <w:ind w:firstLine="560" w:firstLineChars="200"/>
        <w:rPr>
          <w:color w:val="auto"/>
        </w:rPr>
      </w:pPr>
      <w:r>
        <w:rPr>
          <w:rFonts w:hint="eastAsia"/>
          <w:color w:val="auto"/>
        </w:rPr>
        <w:t>水电机组健康预警预测分析是一个非常复杂的系统工程场景，为了高效执行TB级特征数据查询、特征关系分析、异常回溯复盘、数据清洗等任务，数据库设计必须非常灵活。具体的数据库设备包括如下方面：原始数据库：原始数据库用于存储与备份，主要针对原始没有清洗过的数据；历史数据库：历史数据库主要存储清洗后的数据，作为正常运行工况数据；异常数据库：主要存储健康评价后且告警后30分钟左右的数据</w:t>
      </w:r>
      <w:r>
        <w:rPr>
          <w:rFonts w:hint="eastAsia"/>
          <w:color w:val="auto"/>
          <w:highlight w:val="none"/>
        </w:rPr>
        <w:t>，应用于异常复</w:t>
      </w:r>
      <w:r>
        <w:rPr>
          <w:rFonts w:hint="eastAsia"/>
          <w:color w:val="auto"/>
        </w:rPr>
        <w:t>盘；时序实时数据库：用于存储时序实时状态量数据；特征数据库：用于存储特征数据；中间结果数据库：主要存储一些告警数据或者一些中间结果数据。</w:t>
      </w:r>
    </w:p>
    <w:p w14:paraId="6E3A9F00">
      <w:pPr>
        <w:pStyle w:val="11"/>
        <w:spacing w:line="480" w:lineRule="atLeast"/>
        <w:ind w:firstLine="560" w:firstLineChars="200"/>
        <w:rPr>
          <w:color w:val="auto"/>
        </w:rPr>
      </w:pPr>
      <w:r>
        <w:rPr>
          <w:color w:val="auto"/>
        </w:rPr>
        <w:t>在本申请的实施例中，</w:t>
      </w:r>
      <w:r>
        <w:rPr>
          <w:rFonts w:hint="eastAsia"/>
          <w:color w:val="auto"/>
        </w:rPr>
        <w:t>相对于现有技术中的“大多数判断依靠专家经验，无法发挥数据本身的</w:t>
      </w:r>
      <w:r>
        <w:rPr>
          <w:rFonts w:hint="eastAsia"/>
          <w:color w:val="auto"/>
          <w:highlight w:val="none"/>
        </w:rPr>
        <w:t>价值以挖掘其中的数据规</w:t>
      </w:r>
      <w:r>
        <w:rPr>
          <w:rFonts w:hint="eastAsia"/>
          <w:color w:val="auto"/>
        </w:rPr>
        <w:t>律，弥补专家经验考虑不充分，无法穷举所有情况的不足。一个专业稳定的业务模型需要花费大量的时间去梳理，建模和验证，并没有通过大数据技术将人力资源释放，同时对于大型水电站而言，设备数量多，设备复杂度高，需要建立大量的业务模型，因此对运维人员而言数据分析工作量巨大。”，本申请提供了“为实现水电设备健康预警分析智能化应用，首先以单变量测点，多变量测点构建健康度偏离度评估设备风险趋势模型，然后在此基础上构建融合集成模型，</w:t>
      </w:r>
      <w:r>
        <w:rPr>
          <w:rFonts w:hint="eastAsia"/>
          <w:color w:val="auto"/>
          <w:lang w:val="en-US" w:eastAsia="zh-CN"/>
        </w:rPr>
        <w:t>形成</w:t>
      </w:r>
      <w:r>
        <w:rPr>
          <w:rFonts w:hint="eastAsia"/>
          <w:color w:val="auto"/>
        </w:rPr>
        <w:t>最终</w:t>
      </w:r>
      <w:r>
        <w:rPr>
          <w:rFonts w:hint="eastAsia"/>
          <w:color w:val="auto"/>
          <w:lang w:val="en-US" w:eastAsia="zh-CN"/>
        </w:rPr>
        <w:t>异常</w:t>
      </w:r>
      <w:r>
        <w:rPr>
          <w:rFonts w:hint="eastAsia"/>
          <w:color w:val="auto"/>
        </w:rPr>
        <w:t>预警结论</w:t>
      </w:r>
      <w:r>
        <w:rPr>
          <w:rFonts w:hint="eastAsia"/>
          <w:color w:val="auto"/>
          <w:lang w:eastAsia="zh-CN"/>
        </w:rPr>
        <w:t>，</w:t>
      </w:r>
      <w:r>
        <w:rPr>
          <w:rFonts w:hint="eastAsia"/>
          <w:color w:val="auto"/>
          <w:lang w:val="en-US" w:eastAsia="zh-CN"/>
        </w:rPr>
        <w:t>最后使用概率图模型分析潜在隐患</w:t>
      </w:r>
      <w:r>
        <w:rPr>
          <w:rFonts w:hint="eastAsia"/>
          <w:color w:val="auto"/>
        </w:rPr>
        <w:t>”的解决方案，具体为：获取水电机组的运行数据，依据所述运行数据进行处理得到局部异常度和整体健康度；依据所述局部异常度和所述整体健康度得到水电机组风险隐患的概率。本申请通过基于大数据和AI的方式研究实现了水电机组设备的健康管理体系，通过水电机组设备健康预警预测模型体系</w:t>
      </w:r>
      <w:r>
        <w:rPr>
          <w:rFonts w:hint="eastAsia"/>
          <w:color w:val="auto"/>
          <w:lang w:eastAsia="zh-CN"/>
        </w:rPr>
        <w:t>、</w:t>
      </w:r>
      <w:r>
        <w:rPr>
          <w:rFonts w:hint="eastAsia"/>
          <w:color w:val="auto"/>
        </w:rPr>
        <w:t>设备测点预警预测模型</w:t>
      </w:r>
      <w:r>
        <w:rPr>
          <w:rFonts w:hint="eastAsia"/>
          <w:color w:val="auto"/>
          <w:lang w:eastAsia="zh-CN"/>
        </w:rPr>
        <w:t>、</w:t>
      </w:r>
      <w:r>
        <w:rPr>
          <w:rFonts w:hint="eastAsia"/>
          <w:color w:val="auto"/>
        </w:rPr>
        <w:t>劣化趋势模型</w:t>
      </w:r>
      <w:r>
        <w:rPr>
          <w:rFonts w:hint="eastAsia"/>
          <w:color w:val="auto"/>
          <w:lang w:eastAsia="zh-CN"/>
        </w:rPr>
        <w:t>、</w:t>
      </w:r>
      <w:r>
        <w:rPr>
          <w:rFonts w:hint="eastAsia"/>
          <w:color w:val="auto"/>
        </w:rPr>
        <w:t>数据趋势分析模型，构建</w:t>
      </w:r>
      <w:r>
        <w:rPr>
          <w:rFonts w:hint="eastAsia"/>
          <w:color w:val="auto"/>
          <w:lang w:val="en-US" w:eastAsia="zh-CN"/>
        </w:rPr>
        <w:t>了</w:t>
      </w:r>
      <w:r>
        <w:rPr>
          <w:rFonts w:hint="eastAsia"/>
          <w:color w:val="auto"/>
        </w:rPr>
        <w:t>完整</w:t>
      </w:r>
      <w:r>
        <w:rPr>
          <w:rFonts w:hint="eastAsia"/>
          <w:color w:val="auto"/>
          <w:lang w:val="en-US" w:eastAsia="zh-CN"/>
        </w:rPr>
        <w:t>的</w:t>
      </w:r>
      <w:r>
        <w:rPr>
          <w:rFonts w:hint="eastAsia"/>
          <w:color w:val="auto"/>
        </w:rPr>
        <w:t>基于大数据的机组健康风险管理体系，完成提高水电机组早期缺陷劣化方向的精准研判，提高水电机组健康管理智能化水平；机组的设备健康预警预测体系，利用人工智能结合大数据分析，真正做到挖掘数据规律，从数据角度说话，推断设备风险状态隐患的概率，做到了事前防范；机组预警预测分析体系，计算部分系统自动执行，通过数据解释性，模型解释性和少量人员经验参与，减少人工经验判断带来的偏差，提高趋势判断依据，减少分析工作。</w:t>
      </w:r>
    </w:p>
    <w:p w14:paraId="59F2ADB2">
      <w:pPr>
        <w:pStyle w:val="11"/>
        <w:spacing w:line="480" w:lineRule="atLeast"/>
        <w:ind w:firstLine="560" w:firstLineChars="200"/>
      </w:pPr>
      <w:r>
        <w:t>参照</w:t>
      </w:r>
      <w:r>
        <w:rPr>
          <w:rFonts w:hint="eastAsia"/>
        </w:rPr>
        <w:t>图1</w:t>
      </w:r>
      <w:r>
        <w:t>，示出了本申请一实施例提供的一种</w:t>
      </w:r>
      <w:r>
        <w:rPr>
          <w:rFonts w:hint="eastAsia"/>
        </w:rPr>
        <w:t>基于水电机组的风险预测方法的步骤流程图，具体包括如下步骤：</w:t>
      </w:r>
    </w:p>
    <w:p w14:paraId="4DFE78AE">
      <w:pPr>
        <w:pStyle w:val="11"/>
        <w:ind w:firstLine="560" w:firstLineChars="200"/>
      </w:pPr>
      <w:r>
        <w:rPr>
          <w:rFonts w:hint="eastAsia"/>
        </w:rPr>
        <w:t>S110、获取水电机组的运行数据，依据所述运行数据进行处理得到局部异常度和整体健康度；</w:t>
      </w:r>
    </w:p>
    <w:p w14:paraId="36687E15">
      <w:pPr>
        <w:pStyle w:val="11"/>
        <w:ind w:firstLine="560" w:firstLineChars="200"/>
      </w:pPr>
      <w:r>
        <w:rPr>
          <w:rFonts w:hint="eastAsia"/>
        </w:rPr>
        <w:t>S120、依据所述局部异常度和所述整体健康度得到</w:t>
      </w:r>
      <w:r>
        <w:rPr>
          <w:rFonts w:hint="eastAsia"/>
          <w:color w:val="auto"/>
        </w:rPr>
        <w:t>水电机组</w:t>
      </w:r>
      <w:r>
        <w:rPr>
          <w:rFonts w:hint="eastAsia"/>
        </w:rPr>
        <w:t>风险隐患的概率。</w:t>
      </w:r>
    </w:p>
    <w:p w14:paraId="61B9C16C">
      <w:pPr>
        <w:pStyle w:val="11"/>
        <w:spacing w:line="480" w:lineRule="atLeast"/>
        <w:ind w:firstLine="560" w:firstLineChars="200"/>
      </w:pPr>
      <w:r>
        <w:t>下面，对本示例性实施例中</w:t>
      </w:r>
      <w:r>
        <w:rPr>
          <w:rFonts w:hint="eastAsia"/>
        </w:rPr>
        <w:t>基于水电机组的风险预测方法</w:t>
      </w:r>
      <w:r>
        <w:t>作</w:t>
      </w:r>
      <w:r>
        <w:rPr>
          <w:rFonts w:hint="eastAsia"/>
        </w:rPr>
        <w:t>进一步</w:t>
      </w:r>
      <w:r>
        <w:t>说明。</w:t>
      </w:r>
    </w:p>
    <w:p w14:paraId="2E3E2540">
      <w:pPr>
        <w:pStyle w:val="11"/>
        <w:ind w:firstLine="560" w:firstLineChars="200"/>
      </w:pPr>
      <w:r>
        <w:t>如</w:t>
      </w:r>
      <w:r>
        <w:rPr>
          <w:rFonts w:hint="eastAsia"/>
        </w:rPr>
        <w:t>上述</w:t>
      </w:r>
      <w:r>
        <w:t>步骤S</w:t>
      </w:r>
      <w:r>
        <w:rPr>
          <w:rFonts w:hint="eastAsia"/>
        </w:rPr>
        <w:t>11</w:t>
      </w:r>
      <w:r>
        <w:t>0所述，</w:t>
      </w:r>
      <w:r>
        <w:rPr>
          <w:rFonts w:hint="eastAsia"/>
        </w:rPr>
        <w:t>获取水电机组的运行数据，并依据所述运行数据进行处理得到局部异常度和整体健康度。</w:t>
      </w:r>
    </w:p>
    <w:p w14:paraId="2127DA00">
      <w:pPr>
        <w:pStyle w:val="11"/>
        <w:ind w:firstLine="560" w:firstLineChars="200"/>
      </w:pPr>
      <w:r>
        <w:rPr>
          <w:rFonts w:hint="eastAsia"/>
        </w:rPr>
        <w:t>如下列步骤所述，依据所述运行数据进行处理得到初始数据；其中，所述初始数据包括初始水轮发电机数据，初始负荷数据以及初始环境温度数据；依据所述初始数据得到局部异常度和整体健康度。</w:t>
      </w:r>
    </w:p>
    <w:p w14:paraId="10E2EBFF">
      <w:pPr>
        <w:pStyle w:val="11"/>
        <w:ind w:firstLine="560" w:firstLineChars="200"/>
      </w:pPr>
      <w:r>
        <w:t>在本发明一实施例中，可以结合下列描述进一步说明步骤S</w:t>
      </w:r>
      <w:r>
        <w:rPr>
          <w:rFonts w:hint="eastAsia"/>
        </w:rPr>
        <w:t>11</w:t>
      </w:r>
      <w:r>
        <w:t>0</w:t>
      </w:r>
      <w:r>
        <w:rPr>
          <w:rFonts w:hint="eastAsia"/>
        </w:rPr>
        <w:t>所述“获取水电机组的运行数据，依据所述运行数据进行处理得到初始数据”</w:t>
      </w:r>
      <w:r>
        <w:t>的具体过程。</w:t>
      </w:r>
    </w:p>
    <w:p w14:paraId="6C845FBD">
      <w:pPr>
        <w:pStyle w:val="11"/>
        <w:ind w:firstLine="560" w:firstLineChars="200"/>
      </w:pPr>
      <w:r>
        <w:rPr>
          <w:rFonts w:hint="eastAsia"/>
        </w:rPr>
        <w:t>如下列步骤所述，依据所述运行数据进行采样得到采样数据；其中，所述运行数据包括水轮发电机数据、负荷数据以及环境温度数据；依据所述采样数据进行清洗得到清洗数据；依据所述清洗数据进行特征处理得到所述初始数据；其中，所述初始数据包括初始水轮发电机数据，初始负荷数据以及初始环境温度数据。</w:t>
      </w:r>
    </w:p>
    <w:p w14:paraId="2D59C827">
      <w:pPr>
        <w:pStyle w:val="11"/>
        <w:ind w:firstLine="560" w:firstLineChars="200"/>
      </w:pPr>
      <w:r>
        <w:t>在本发明一实施例中，可以结合下列描述进一步说明步骤</w:t>
      </w:r>
      <w:r>
        <w:rPr>
          <w:rFonts w:hint="eastAsia"/>
        </w:rPr>
        <w:t>所述“依据所述运行数据进行采样得到采样数据”</w:t>
      </w:r>
      <w:r>
        <w:t>的具体过程。</w:t>
      </w:r>
    </w:p>
    <w:p w14:paraId="6860489F">
      <w:pPr>
        <w:pStyle w:val="11"/>
        <w:ind w:firstLine="560" w:firstLineChars="200"/>
      </w:pPr>
      <w:r>
        <w:rPr>
          <w:rFonts w:hint="eastAsia"/>
        </w:rPr>
        <w:t>在一具体实施例中，数据采样算子的开发及部署，是基于设备正常健康样本数据进行模型搭建、模型训练、模型评估，从而建立并获得正常样本的空间分布规律；再通过构建一个时间序列样本数据评估模型，自适应地选择均匀采样、广义平滑加权采样(GSW)、空间采样(OCSVM)方法或不规则采样方法，以得到适用于模型训练的样本数据。应提供至少四种采样算子(包括但不限于均匀采样、广义平滑加权采样、空间采样、不规则采样等)及至少一种时间序列样本数据评估模型。</w:t>
      </w:r>
    </w:p>
    <w:p w14:paraId="50CEEE67">
      <w:pPr>
        <w:pStyle w:val="11"/>
        <w:ind w:firstLine="560" w:firstLineChars="200"/>
      </w:pPr>
      <w:r>
        <w:rPr>
          <w:rFonts w:hint="eastAsia"/>
        </w:rPr>
        <w:t>需要说明的是，由于数据较为稠密，不同工况下的正样本数据极具类似，假如不采样，会带来很大的冗余计算，浪费大量的计算资源和等待时间。因此，构建正样本空间必须采取合理的采样办法，通过对正样本空间分布进行分析，同时结合水电机组各种工况特点，设计采样方法。</w:t>
      </w:r>
    </w:p>
    <w:p w14:paraId="2D9CBBD0">
      <w:pPr>
        <w:ind w:firstLine="560" w:firstLineChars="200"/>
        <w:rPr>
          <w:rFonts w:eastAsia="楷体_GB2312"/>
          <w:color w:val="000000"/>
          <w:sz w:val="28"/>
          <w:szCs w:val="20"/>
        </w:rPr>
      </w:pPr>
      <w:r>
        <w:rPr>
          <w:rFonts w:hint="eastAsia" w:eastAsia="楷体_GB2312"/>
          <w:color w:val="000000"/>
          <w:sz w:val="28"/>
          <w:szCs w:val="20"/>
        </w:rPr>
        <w:t>作为一种示例，本申请可以采用均匀采样、广义平滑加权采样(GSW)、空间采样(OCSVM)、蓄水池采样算法、不规则采样、LTTB采样、分层均匀随机抽样中任意一种采样方法，再使用时序模型对采样后的数据进行评估。</w:t>
      </w:r>
    </w:p>
    <w:p w14:paraId="70DDDE98">
      <w:pPr>
        <w:ind w:firstLine="560" w:firstLineChars="200"/>
        <w:rPr>
          <w:rFonts w:eastAsia="楷体_GB2312"/>
          <w:color w:val="000000"/>
          <w:sz w:val="28"/>
          <w:szCs w:val="20"/>
        </w:rPr>
      </w:pPr>
      <w:r>
        <w:rPr>
          <w:rFonts w:hint="eastAsia" w:eastAsia="楷体_GB2312"/>
          <w:color w:val="000000"/>
          <w:sz w:val="28"/>
          <w:szCs w:val="20"/>
        </w:rPr>
        <w:t>在一具体实施例中，对于采样后的样本时序数据需要进行初步检验，以确定采样后的样本数据和总体数据在统计意义上属于无偏估计。常用估计量是：样本平均值，样本方差，样本标准差。原理图以及一般采用的方法如图7所示。</w:t>
      </w:r>
    </w:p>
    <w:p w14:paraId="0AB16ABA">
      <w:pPr>
        <w:ind w:firstLine="560" w:firstLineChars="200"/>
        <w:rPr>
          <w:rFonts w:eastAsia="楷体_GB2312"/>
          <w:color w:val="000000"/>
          <w:sz w:val="28"/>
          <w:szCs w:val="20"/>
        </w:rPr>
      </w:pPr>
      <w:r>
        <w:rPr>
          <w:rFonts w:hint="eastAsia" w:eastAsia="楷体_GB2312"/>
          <w:color w:val="000000"/>
          <w:sz w:val="28"/>
          <w:szCs w:val="20"/>
        </w:rPr>
        <w:t>点估计：对于来自一个测量总体的任何随机样本，如果对随机量计算出一个具体的数值（某个样本的均值、方差或标准差），用以估计总体的参数（例如：总体的均值、方差或标准差），则该数值称为总体参数的一个点估计。用点估计反映总体参数时，应该给出尽可能多的附加信息，以便于评价估计值的准确度和精度。准确度受度量方法和抽样设计影响；精度则由固定容量n的样本标准差决定，标准差越小越精确。</w:t>
      </w:r>
    </w:p>
    <w:p w14:paraId="7CF3128E">
      <w:pPr>
        <w:ind w:firstLine="560" w:firstLineChars="200"/>
        <w:rPr>
          <w:rFonts w:eastAsia="楷体_GB2312"/>
          <w:color w:val="000000"/>
          <w:sz w:val="28"/>
          <w:szCs w:val="20"/>
        </w:rPr>
      </w:pPr>
      <w:r>
        <w:rPr>
          <w:rFonts w:hint="eastAsia" w:eastAsia="楷体_GB2312"/>
          <w:color w:val="000000"/>
          <w:sz w:val="28"/>
          <w:szCs w:val="20"/>
        </w:rPr>
        <w:t>区间估计：尽管有点估计及其准确度和精度的一些信息，但是仍然未能从样本跳跃到总体，即未能把点估计与待估总体参数联系起来，给出估计对参数的接近程度或确定在估计值中存在多大的可能误差。为了从样本信息推断总体参数，需要用到区间估计。区间估计是一个从样本到总体的推断，区间估计将总体参数置于一个实区间上。区间的边界值由三个因素决定</w:t>
      </w:r>
      <w:r>
        <w:rPr>
          <w:rFonts w:hint="eastAsia" w:eastAsia="楷体_GB2312"/>
          <w:color w:val="000000"/>
          <w:sz w:val="28"/>
          <w:szCs w:val="20"/>
          <w:lang w:eastAsia="zh-CN"/>
        </w:rPr>
        <w:t>：</w:t>
      </w:r>
      <w:r>
        <w:rPr>
          <w:rFonts w:hint="eastAsia" w:eastAsia="楷体_GB2312"/>
          <w:color w:val="000000"/>
          <w:sz w:val="28"/>
          <w:szCs w:val="20"/>
          <w:lang w:val="en-US" w:eastAsia="zh-CN"/>
        </w:rPr>
        <w:t>①</w:t>
      </w:r>
      <w:r>
        <w:rPr>
          <w:rFonts w:hint="eastAsia" w:eastAsia="楷体_GB2312"/>
          <w:color w:val="000000"/>
          <w:sz w:val="28"/>
          <w:szCs w:val="20"/>
        </w:rPr>
        <w:t>样本点估计值；</w:t>
      </w:r>
      <w:r>
        <w:rPr>
          <w:rFonts w:hint="eastAsia" w:eastAsia="楷体_GB2312"/>
          <w:color w:val="000000"/>
          <w:sz w:val="28"/>
          <w:szCs w:val="20"/>
          <w:lang w:val="en-US" w:eastAsia="zh-CN"/>
        </w:rPr>
        <w:t>②</w:t>
      </w:r>
      <w:r>
        <w:rPr>
          <w:rFonts w:hint="eastAsia" w:eastAsia="楷体_GB2312"/>
          <w:color w:val="000000"/>
          <w:sz w:val="28"/>
          <w:szCs w:val="20"/>
        </w:rPr>
        <w:t>联系总体参数和样本点估计的样本统计量（如Z统计量，做正态变换得到）；</w:t>
      </w:r>
      <w:r>
        <w:rPr>
          <w:rFonts w:hint="eastAsia" w:eastAsia="楷体_GB2312"/>
          <w:color w:val="000000"/>
          <w:sz w:val="28"/>
          <w:szCs w:val="20"/>
          <w:lang w:val="en-US" w:eastAsia="zh-CN"/>
        </w:rPr>
        <w:t>③</w:t>
      </w:r>
      <w:r>
        <w:rPr>
          <w:rFonts w:hint="eastAsia" w:eastAsia="楷体_GB2312"/>
          <w:color w:val="000000"/>
          <w:sz w:val="28"/>
          <w:szCs w:val="20"/>
        </w:rPr>
        <w:t>该统计量的抽样分布（例如，样本均值的理论抽样分布服从正态分布，则Z统计量的抽样分布是标准正态分布）。</w:t>
      </w:r>
    </w:p>
    <w:p w14:paraId="30EC1F08">
      <w:pPr>
        <w:ind w:firstLine="560" w:firstLineChars="200"/>
        <w:rPr>
          <w:rFonts w:eastAsia="楷体_GB2312"/>
          <w:color w:val="000000"/>
          <w:sz w:val="28"/>
          <w:szCs w:val="20"/>
        </w:rPr>
      </w:pPr>
      <w:r>
        <w:rPr>
          <w:rFonts w:hint="eastAsia" w:eastAsia="楷体_GB2312"/>
          <w:color w:val="000000"/>
          <w:sz w:val="28"/>
          <w:szCs w:val="20"/>
        </w:rPr>
        <w:t>通过对水电机组设备时序数据进行正样本采样，并对时序采样数据计算置信水平估计和置信区间估计，发现采样正样本空间符合样本总体的分布规律，可作为无偏差估计。大致步骤如下：</w:t>
      </w:r>
    </w:p>
    <w:p w14:paraId="6D6F3A63">
      <w:pPr>
        <w:ind w:firstLine="560" w:firstLineChars="200"/>
        <w:rPr>
          <w:rFonts w:eastAsia="楷体_GB2312"/>
          <w:color w:val="000000"/>
          <w:sz w:val="28"/>
          <w:szCs w:val="20"/>
        </w:rPr>
      </w:pPr>
      <w:r>
        <w:rPr>
          <w:rFonts w:hint="eastAsia" w:eastAsia="楷体_GB2312"/>
          <w:color w:val="000000"/>
          <w:sz w:val="28"/>
          <w:szCs w:val="20"/>
        </w:rPr>
        <w:t>置信区间估计，预估的总体某个指标的范围；</w:t>
      </w:r>
    </w:p>
    <w:p w14:paraId="5F1FE8EA">
      <w:pPr>
        <w:ind w:firstLine="560" w:firstLineChars="200"/>
        <w:rPr>
          <w:rFonts w:eastAsia="楷体_GB2312"/>
          <w:color w:val="000000"/>
          <w:sz w:val="28"/>
          <w:szCs w:val="20"/>
        </w:rPr>
      </w:pPr>
      <w:r>
        <w:rPr>
          <w:rFonts w:hint="eastAsia" w:eastAsia="楷体_GB2312"/>
          <w:color w:val="000000"/>
          <w:sz w:val="28"/>
          <w:szCs w:val="20"/>
        </w:rPr>
        <w:t>置信水平估计，是对预估结果准确概率的要求，也称为置信度；</w:t>
      </w:r>
    </w:p>
    <w:p w14:paraId="66374A13">
      <w:pPr>
        <w:ind w:firstLine="560" w:firstLineChars="200"/>
        <w:rPr>
          <w:rFonts w:eastAsia="楷体_GB2312"/>
          <w:color w:val="000000"/>
          <w:sz w:val="28"/>
          <w:szCs w:val="20"/>
        </w:rPr>
      </w:pPr>
      <w:r>
        <w:rPr>
          <w:rFonts w:hint="eastAsia" w:eastAsia="楷体_GB2312"/>
          <w:color w:val="000000"/>
          <w:sz w:val="28"/>
          <w:szCs w:val="20"/>
        </w:rPr>
        <w:t>显著性水平设置，为1-置信水平，通常用 </w:t>
      </w:r>
      <w:r>
        <w:rPr>
          <w:rFonts w:hint="eastAsia" w:eastAsia="楷体_GB2312"/>
          <w:color w:val="000000"/>
          <w:sz w:val="28"/>
          <w:szCs w:val="20"/>
        </w:rPr>
        <w:drawing>
          <wp:inline distT="0" distB="0" distL="114300" distR="114300">
            <wp:extent cx="222250" cy="196850"/>
            <wp:effectExtent l="0" t="0" r="6350" b="12700"/>
            <wp:docPr id="201" name="图片 201" descr="1700114753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1700114753672(1)"/>
                    <pic:cNvPicPr>
                      <a:picLocks noChangeAspect="1"/>
                    </pic:cNvPicPr>
                  </pic:nvPicPr>
                  <pic:blipFill>
                    <a:blip r:embed="rId21"/>
                    <a:stretch>
                      <a:fillRect/>
                    </a:stretch>
                  </pic:blipFill>
                  <pic:spPr>
                    <a:xfrm>
                      <a:off x="0" y="0"/>
                      <a:ext cx="222250" cy="196850"/>
                    </a:xfrm>
                    <a:prstGeom prst="rect">
                      <a:avLst/>
                    </a:prstGeom>
                  </pic:spPr>
                </pic:pic>
              </a:graphicData>
            </a:graphic>
          </wp:inline>
        </w:drawing>
      </w:r>
      <w:r>
        <w:rPr>
          <w:rFonts w:hint="eastAsia" w:eastAsia="楷体_GB2312"/>
          <w:color w:val="000000"/>
          <w:sz w:val="28"/>
          <w:szCs w:val="20"/>
        </w:rPr>
        <w:t>表示。置信水平与置信区间关系如图8所示。</w:t>
      </w:r>
    </w:p>
    <w:p w14:paraId="72219869">
      <w:pPr>
        <w:ind w:firstLine="560" w:firstLineChars="200"/>
        <w:rPr>
          <w:rFonts w:eastAsia="楷体_GB2312"/>
          <w:color w:val="000000"/>
          <w:sz w:val="28"/>
          <w:szCs w:val="20"/>
        </w:rPr>
      </w:pPr>
      <w:r>
        <w:rPr>
          <w:rFonts w:hint="eastAsia" w:eastAsia="楷体_GB2312"/>
          <w:color w:val="000000"/>
          <w:sz w:val="28"/>
          <w:szCs w:val="20"/>
        </w:rPr>
        <w:t>置信区间估计：估计置信区间，通过抽样样本估计总体样本概率特征，通过如下4步骤可以实现，如图9所示。</w:t>
      </w:r>
    </w:p>
    <w:p w14:paraId="0DE0E85D">
      <w:pPr>
        <w:pStyle w:val="11"/>
        <w:ind w:firstLine="560" w:firstLineChars="200"/>
      </w:pPr>
      <w:r>
        <w:t>在本发明一实施例中，可以结合下列描述进一步说明步骤</w:t>
      </w:r>
      <w:r>
        <w:rPr>
          <w:rFonts w:hint="eastAsia"/>
        </w:rPr>
        <w:t>所述“依据所述采样数据进行清洗得到清洗数据”</w:t>
      </w:r>
      <w:r>
        <w:t>的具体过程。</w:t>
      </w:r>
    </w:p>
    <w:p w14:paraId="083EE0C6">
      <w:pPr>
        <w:pStyle w:val="11"/>
        <w:ind w:firstLine="560" w:firstLineChars="200"/>
      </w:pPr>
      <w:r>
        <w:rPr>
          <w:rFonts w:hint="eastAsia"/>
        </w:rPr>
        <w:t>在一具体实施例中，数据清洗算子的开发及部署，是针对水电设备原始传感器信号数据类型多样、数据尺度差异大的特点，同时考虑到部分测点在时间维度上存在较多的缺失数据及由于传感器异常等原因存在大量死点和数据漂移的现象，开发的专用数据清洗算子。针对异常值(离群)问题：设计机器学习算子和深度学习算子进行无监督检测。针对缺失值问题：应根据不同的需求设计机器学习算子和深度学习算子。针对非平稳序列问题：采用多种差分算子相结合(包括且不限于一阶差分、二阶差分及季节差分)的方式对数据进行平稳化，使原始非平稳的时序数据转化为可预测的平稳数据以便后续建模。针对时序噪声问题：为了使时序数据更加平滑以实现准确预测，设计多种滤波算子，包括并不限于移动平均算子、高斯过程平滑算子以及指数平滑算子等。</w:t>
      </w:r>
    </w:p>
    <w:p w14:paraId="6F41CD1D">
      <w:pPr>
        <w:pStyle w:val="11"/>
        <w:ind w:firstLine="560" w:firstLineChars="200"/>
      </w:pPr>
      <w:r>
        <w:rPr>
          <w:rFonts w:hint="eastAsia"/>
        </w:rPr>
        <w:t>作为一种示例，对于水电机组设备而言，数据清洗要占据大量的时间，目的在于还原真实的运行过程。对于水电机组设备主要存在离群数据，丢失数据，延迟数据，无效数据等情况的处理，通过历史数据结合台账缺陷等数据进行数据清洗，完成设备运行数据的真实还原，此时采用的算法如下：</w:t>
      </w:r>
    </w:p>
    <w:p w14:paraId="4A66D2C9">
      <w:pPr>
        <w:pStyle w:val="11"/>
        <w:ind w:firstLine="560" w:firstLineChars="200"/>
      </w:pPr>
      <w:r>
        <w:rPr>
          <w:rFonts w:hint="eastAsia"/>
        </w:rPr>
        <w:t>离群数据采用如下算法，进行综合验证，适应不同的业务场景：Kmeans离群算法：持续计算各样本点和簇中心点之间的欧式距离，持续收敛到最佳状态，找到最优K值，并以聚类距离作为离群值判定依据；KNN离群算法：利用相邻的K个样本点稀疏程度或蜂窝程度，判断是否为离群数据；LOF局部离群因子算法：根据样本局部周围密度稀疏情况，判断离群数据；孤立森林算法：</w:t>
      </w:r>
      <w:r>
        <w:rPr>
          <w:rFonts w:hint="eastAsia"/>
          <w:highlight w:val="none"/>
        </w:rPr>
        <w:t>孤立森林将</w:t>
      </w:r>
      <w:r>
        <w:rPr>
          <w:rFonts w:hint="eastAsia"/>
          <w:color w:val="auto"/>
          <w:highlight w:val="none"/>
        </w:rPr>
        <w:t>类似于</w:t>
      </w:r>
      <w:r>
        <w:rPr>
          <w:rFonts w:hint="eastAsia"/>
          <w:highlight w:val="none"/>
        </w:rPr>
        <w:t>决策树对数据进行递归划分，划分次</w:t>
      </w:r>
      <w:r>
        <w:rPr>
          <w:rFonts w:hint="eastAsia"/>
        </w:rPr>
        <w:t>数越多则紧密程度越强，划分次数越少则判定为离群数据的概率越高。四分位数算法：基于数据分布3sigma原则去除离群点。</w:t>
      </w:r>
    </w:p>
    <w:p w14:paraId="65B14F98">
      <w:pPr>
        <w:pStyle w:val="11"/>
        <w:ind w:firstLine="560" w:firstLineChars="200"/>
      </w:pPr>
      <w:r>
        <w:rPr>
          <w:rFonts w:hint="eastAsia"/>
        </w:rPr>
        <w:t>延迟数据处理采用如下算法：对于少量的延迟数据，依据数据的强相关性，利用前序数据规律经过简单的换算（如：加权平均法等），可直接实现对数据序列的补全。</w:t>
      </w:r>
    </w:p>
    <w:p w14:paraId="5E476D9B">
      <w:pPr>
        <w:pStyle w:val="11"/>
        <w:ind w:firstLine="560" w:firstLineChars="200"/>
      </w:pPr>
      <w:r>
        <w:rPr>
          <w:rFonts w:hint="eastAsia"/>
        </w:rPr>
        <w:t>数据丢失处理采用如下算法：对于大量的丢失数据，依据数据的强相关性，用SVR、CONVLSTM算法利用前序数据预测后续数据，实现对数据序列的补全。</w:t>
      </w:r>
    </w:p>
    <w:p w14:paraId="7544C905">
      <w:pPr>
        <w:pStyle w:val="11"/>
        <w:ind w:firstLine="560" w:firstLineChars="200"/>
      </w:pPr>
      <w:r>
        <w:rPr>
          <w:rFonts w:hint="eastAsia"/>
        </w:rPr>
        <w:t>无效数据处理采用如下算法：根据数据的强相关性，用SVR、CONVLSTM算法利用前序数据预测后续数据，实现对数据序列的修正。</w:t>
      </w:r>
    </w:p>
    <w:p w14:paraId="6AE0AC5D">
      <w:pPr>
        <w:pStyle w:val="11"/>
        <w:ind w:firstLine="560" w:firstLineChars="200"/>
        <w:rPr>
          <w:highlight w:val="none"/>
        </w:rPr>
      </w:pPr>
      <w:r>
        <w:rPr>
          <w:rFonts w:hint="eastAsia"/>
          <w:highlight w:val="none"/>
        </w:rPr>
        <w:t>SVR算法整体过程解释如下：SVR算法是机器学习算法，对于非线性特征数据拟合能力较强，也常常用于线性回归场景，拟合精度较高。在实际应用中一般先用SVR先进行模型试验，假如试验过程中发现特征数据在时间和空间上存在依赖性，且数据量较大时，采用</w:t>
      </w:r>
      <w:r>
        <w:rPr>
          <w:highlight w:val="none"/>
        </w:rPr>
        <w:t>CONVLSTM</w:t>
      </w:r>
      <w:r>
        <w:rPr>
          <w:rFonts w:hint="eastAsia"/>
          <w:highlight w:val="none"/>
        </w:rPr>
        <w:t>进行拟合，目前两个算法一般配合使用，算法精度较高。</w:t>
      </w:r>
    </w:p>
    <w:p w14:paraId="48416D30">
      <w:pPr>
        <w:pStyle w:val="11"/>
        <w:ind w:firstLine="560" w:firstLineChars="200"/>
        <w:rPr>
          <w:highlight w:val="none"/>
        </w:rPr>
      </w:pPr>
      <w:r>
        <w:rPr>
          <w:rFonts w:hint="eastAsia"/>
          <w:highlight w:val="none"/>
        </w:rPr>
        <w:t>CONLSTM算法整体过程解释如下：对于CONLSTM算法而言，不仅仅可以学习时间维度和空间维度的特征相关性记性训练，同时对于前序数据的波动具有记忆功能，往往用于复杂数据的拟合，在实施过程中一般和SVR配合使用。</w:t>
      </w:r>
    </w:p>
    <w:p w14:paraId="11069897">
      <w:pPr>
        <w:pStyle w:val="11"/>
        <w:ind w:firstLine="560" w:firstLineChars="200"/>
        <w:jc w:val="left"/>
      </w:pPr>
      <w:r>
        <w:rPr>
          <w:rFonts w:hint="eastAsia"/>
        </w:rPr>
        <w:t>在一具体实施例中，在历史数据中确定清洗规则和清洗算法参数，当算法稳定后，用于实时数据清洗，以完成整个数据集的清洗功能。此处理过程自动化进行，人工参与少，整个过程可可视化展示，具有很强的业务解释性，同时便于清洗的正确性判断，用户可自定义操作过程控制。</w:t>
      </w:r>
    </w:p>
    <w:p w14:paraId="45189DA4">
      <w:pPr>
        <w:pStyle w:val="11"/>
        <w:ind w:firstLine="560" w:firstLineChars="200"/>
      </w:pPr>
      <w:r>
        <w:rPr>
          <w:rFonts w:hint="eastAsia"/>
        </w:rPr>
        <w:t>在一具体实施例中，对于测点数据中的非平稳性问题，采用移动平均，加权平均，多阶差分算子等对数据进行平稳化，根据实际情况选择合适算子，一般在水电领域，常用多阶差分和加权平均，把非平稳数据转化为平稳数据，进行智能算法分析。常见的平滑处理算法如下：移动平均、简单移动平均（SMA）、指数加权移动平均、指数平滑、局部加权散点平滑、数据噪声处理。</w:t>
      </w:r>
    </w:p>
    <w:p w14:paraId="5C646CAD">
      <w:pPr>
        <w:pStyle w:val="11"/>
        <w:ind w:firstLine="560" w:firstLineChars="200"/>
        <w:rPr>
          <w:color w:val="auto"/>
        </w:rPr>
      </w:pPr>
      <w:r>
        <w:rPr>
          <w:rFonts w:hint="eastAsia"/>
        </w:rPr>
        <w:t>在一具体实施例中，对于测点的噪声情况而言，一般采用滤波算子进行处理，比如移动平均算子，指数平均算子，高斯滤波平滑算子，还原时序数据的真实信号，方便精准预测。常见的噪声处理技术如下：低通滤波器、Kalman滤波、Savitzky-Golay滤波器。</w:t>
      </w:r>
    </w:p>
    <w:p w14:paraId="13AA095C">
      <w:pPr>
        <w:pStyle w:val="11"/>
        <w:ind w:firstLine="560" w:firstLineChars="200"/>
      </w:pPr>
      <w:r>
        <w:t>在本发明一实施例中，可以结合下列描述进一步说明步骤</w:t>
      </w:r>
      <w:r>
        <w:rPr>
          <w:rFonts w:hint="eastAsia"/>
        </w:rPr>
        <w:t>所述“依据所述清洗数据进行特征处理得到所述初始数据”</w:t>
      </w:r>
      <w:r>
        <w:t>的具体过程。</w:t>
      </w:r>
    </w:p>
    <w:p w14:paraId="7D35C019">
      <w:pPr>
        <w:pStyle w:val="11"/>
        <w:ind w:firstLine="560" w:firstLineChars="200"/>
      </w:pPr>
      <w:r>
        <w:rPr>
          <w:rFonts w:hint="eastAsia"/>
        </w:rPr>
        <w:t>在一具体实施例中，特征工程算子开发及部署，通过分析设备多个测点特征的相关性，开发特征工程算子有效削减冗余信息，并对数据的维度进行规约和变换，解决测点数据之间由于高度相关、尺度不同对预测结果的不利影响。特征变换(缩放)：针对数据尺度差异问题，设计时序数据正则化及标准化算子，以使不同设备的数据范围更加统一。特征降维：针对特征稀疏问题，需开发PCA等传统降维算子，并研究基于神经网络自编码器的非线性降维算子。</w:t>
      </w:r>
    </w:p>
    <w:p w14:paraId="12176955">
      <w:pPr>
        <w:pStyle w:val="11"/>
        <w:ind w:firstLine="560" w:firstLineChars="200"/>
      </w:pPr>
      <w:r>
        <w:rPr>
          <w:rFonts w:hint="eastAsia"/>
        </w:rPr>
        <w:t>作为一种示例，将清洗数据依次进行冗余特征消除、特征变换、特征降维以及特征选择得到所述初始数据。</w:t>
      </w:r>
    </w:p>
    <w:p w14:paraId="2730AB3C">
      <w:pPr>
        <w:pStyle w:val="11"/>
        <w:spacing w:line="360" w:lineRule="auto"/>
        <w:ind w:firstLine="560" w:firstLineChars="200"/>
      </w:pPr>
      <w:r>
        <w:rPr>
          <w:rFonts w:hint="eastAsia"/>
        </w:rPr>
        <w:t>在一具体实施案例中，冗余特征消除：主要用于消除状态量之间的高相关性影响以及删除无效特征。在水电的物理系统中，独立系统的测点数据，比如发电机、</w:t>
      </w:r>
      <w:r>
        <w:rPr>
          <w:rFonts w:hint="eastAsia"/>
          <w:highlight w:val="none"/>
        </w:rPr>
        <w:t>水轮机等数据都是具有相关性，只是相关性的强弱不同，一般会先采用相关系数进行初步分析，如图10所示，</w:t>
      </w:r>
      <w:r>
        <w:rPr>
          <w:rFonts w:hint="eastAsia"/>
          <w:highlight w:val="none"/>
        </w:rPr>
        <w:t>对于相关性很强的特征一般不会删除其中某一特征，</w:t>
      </w:r>
      <w:r>
        <w:rPr>
          <w:rFonts w:hint="eastAsia"/>
          <w:highlight w:val="none"/>
        </w:rPr>
        <w:t>而是对</w:t>
      </w:r>
      <w:r>
        <w:rPr>
          <w:rFonts w:hint="eastAsia"/>
          <w:highlight w:val="none"/>
          <w:lang w:val="en-US" w:eastAsia="zh-CN"/>
        </w:rPr>
        <w:t>这些</w:t>
      </w:r>
      <w:r>
        <w:rPr>
          <w:rFonts w:hint="eastAsia"/>
          <w:highlight w:val="none"/>
        </w:rPr>
        <w:t>特征进行</w:t>
      </w:r>
      <w:r>
        <w:rPr>
          <w:rFonts w:hint="eastAsia"/>
          <w:highlight w:val="none"/>
        </w:rPr>
        <w:t>加权平均成为新的</w:t>
      </w:r>
      <w:r>
        <w:rPr>
          <w:rFonts w:hint="eastAsia"/>
          <w:highlight w:val="none"/>
          <w:lang w:val="en-US" w:eastAsia="zh-CN"/>
        </w:rPr>
        <w:t>特征</w:t>
      </w:r>
      <w:r>
        <w:rPr>
          <w:rFonts w:hint="eastAsia"/>
          <w:highlight w:val="none"/>
        </w:rPr>
        <w:t>后</w:t>
      </w:r>
      <w:r>
        <w:rPr>
          <w:rFonts w:hint="eastAsia"/>
          <w:highlight w:val="none"/>
        </w:rPr>
        <w:t>输入模型进行训练，</w:t>
      </w:r>
      <w:r>
        <w:rPr>
          <w:rFonts w:hint="eastAsia"/>
          <w:highlight w:val="none"/>
        </w:rPr>
        <w:t>这样</w:t>
      </w:r>
      <w:r>
        <w:rPr>
          <w:rFonts w:hint="eastAsia"/>
        </w:rPr>
        <w:t>既保留了原始状态量的物理意义，又考虑了两者相关性的影响。对于无效特征，即对预测目标几乎无用的特征，可以使用特征筛选方法进行过滤，比如常见的卡方检验、方差分析、信息增益等，在实际使用中往往多种方法相互印证，选择最优方法。</w:t>
      </w:r>
    </w:p>
    <w:p w14:paraId="1125EFF8">
      <w:pPr>
        <w:pStyle w:val="11"/>
        <w:spacing w:line="360" w:lineRule="auto"/>
        <w:ind w:firstLine="560" w:firstLineChars="200"/>
      </w:pPr>
      <w:r>
        <w:rPr>
          <w:rFonts w:hint="eastAsia"/>
        </w:rPr>
        <w:t>在一具体实施例中，特征变换（缩放）：主要消除特征间量纲不同带来的不利影响，使不同量纲的数据转换到同一量纲，即无量纲化。常见的无量纲化方法有标准化和区间缩放法。标准化的前提是特征值服从正态分布，标准化后，其转换成标准正态分布。区间缩放法利用了边界值信息，将特征的取值区间缩放到某个特点的范围，例如[0,1]等。</w:t>
      </w:r>
    </w:p>
    <w:p w14:paraId="7773C865">
      <w:pPr>
        <w:pStyle w:val="11"/>
        <w:spacing w:line="360" w:lineRule="auto"/>
        <w:ind w:firstLine="560" w:firstLineChars="200"/>
      </w:pPr>
      <w:r>
        <w:rPr>
          <w:rFonts w:hint="eastAsia"/>
        </w:rPr>
        <w:t>在一具体实施例中，特征降维：由于水电机组设备涉及测点相对较多，输入模型的特征量维度一般较高，将导致计算量大、训练时间长的问题，因此降低特征矩阵维度必不可少。</w:t>
      </w:r>
      <w:r>
        <w:rPr>
          <w:rFonts w:hint="eastAsia"/>
          <w:highlight w:val="none"/>
        </w:rPr>
        <w:t>常见的降维方法除了基于L1惩罚项的模型、自编码神经网络以外，还有</w:t>
      </w:r>
      <w:r>
        <w:rPr>
          <w:rFonts w:hint="eastAsia"/>
        </w:rPr>
        <w:t>主成分分析法(PCA)和线性判别分析(LDA)。PCA和LDA有很多的相似点，其本质是要将原始的样本映射到维度更低的样本空间中，但是PCA和LDA的映射目标不一样：PCA是为了让映射后的样本具有最大的发散性；而LDA是为了让映射后的样本有最好的分类性能。所以说PCA是一种无监督的降维方法，而LDA是一种有监督的降维方法。</w:t>
      </w:r>
    </w:p>
    <w:p w14:paraId="2FDBB996">
      <w:pPr>
        <w:pStyle w:val="11"/>
        <w:widowControl/>
        <w:snapToGrid/>
        <w:spacing w:line="240" w:lineRule="auto"/>
        <w:ind w:firstLine="560" w:firstLineChars="200"/>
      </w:pPr>
      <w:r>
        <w:rPr>
          <w:rFonts w:hint="eastAsia"/>
        </w:rPr>
        <w:t>在一具体实施例中，特征选择，当数据预处理完成后，需要选择有意义的特征输入机器学习模型进行训练。通常来说，从两个方面考虑来选择特征：</w:t>
      </w:r>
      <w:r>
        <w:rPr>
          <w:rFonts w:hint="eastAsia"/>
          <w:lang w:val="en-US" w:eastAsia="zh-CN"/>
        </w:rPr>
        <w:t>①</w:t>
      </w:r>
      <w:r>
        <w:rPr>
          <w:rFonts w:hint="eastAsia"/>
        </w:rPr>
        <w:t>特征是否发散：如果一个特征不发散，例如方差接近于0，也就是说样本在这个特征上基本上没有差异，这个特征对于样本的区分并没有什么用。</w:t>
      </w:r>
      <w:r>
        <w:rPr>
          <w:rFonts w:hint="eastAsia"/>
          <w:lang w:val="en-US" w:eastAsia="zh-CN"/>
        </w:rPr>
        <w:t>②</w:t>
      </w:r>
      <w:r>
        <w:rPr>
          <w:rFonts w:hint="eastAsia"/>
        </w:rPr>
        <w:t>特征与目标的相关性：这点比较显见，与目标相关性高的特征，应当优先选择。可以将特征选择方法分为3种：过滤法、包装法、嵌入法。过滤法：按照发散性、相关性或者其他指标对各个特征进行评分，设定</w:t>
      </w:r>
      <w:r>
        <w:rPr>
          <w:rFonts w:hint="eastAsia"/>
          <w:lang w:val="en-US" w:eastAsia="zh-CN"/>
        </w:rPr>
        <w:t>评分</w:t>
      </w:r>
      <w:r>
        <w:rPr>
          <w:rFonts w:hint="eastAsia"/>
        </w:rPr>
        <w:t>阈值或者</w:t>
      </w:r>
      <w:r>
        <w:rPr>
          <w:rFonts w:hint="eastAsia"/>
          <w:lang w:val="en-US" w:eastAsia="zh-CN"/>
        </w:rPr>
        <w:t>特征数量阈值</w:t>
      </w:r>
      <w:r>
        <w:rPr>
          <w:rFonts w:hint="eastAsia"/>
          <w:highlight w:val="none"/>
        </w:rPr>
        <w:t>以选择特征</w:t>
      </w:r>
      <w:r>
        <w:rPr>
          <w:rFonts w:hint="eastAsia"/>
        </w:rPr>
        <w:t>，主要的方法有方差选择法、相关系数法、卡方检验法、互信息法等。包装法：根据目标函数(通常是预测效果评分)，每次选择若干特征，或者排除若干特征，主要的方法有递归特征消除法。嵌入法：先使用</w:t>
      </w:r>
      <w:r>
        <w:rPr>
          <w:rFonts w:hint="eastAsia"/>
          <w:lang w:val="en-US" w:eastAsia="zh-CN"/>
        </w:rPr>
        <w:t>数据训练</w:t>
      </w:r>
      <w:r>
        <w:rPr>
          <w:rFonts w:hint="eastAsia"/>
        </w:rPr>
        <w:t>机器学习模型，得到各个特征的</w:t>
      </w:r>
      <w:r>
        <w:rPr>
          <w:rFonts w:hint="eastAsia"/>
          <w:lang w:val="en-US" w:eastAsia="zh-CN"/>
        </w:rPr>
        <w:t>重要程度</w:t>
      </w:r>
      <w:r>
        <w:rPr>
          <w:rFonts w:hint="eastAsia"/>
        </w:rPr>
        <w:t>系数，根据系数从大到小选择特征，</w:t>
      </w:r>
      <w:r>
        <w:rPr>
          <w:rFonts w:hint="eastAsia"/>
          <w:highlight w:val="none"/>
        </w:rPr>
        <w:t>主要的方法为基于惩罚项的特征选择法。</w:t>
      </w:r>
    </w:p>
    <w:p w14:paraId="1B6B82BD">
      <w:pPr>
        <w:pStyle w:val="11"/>
        <w:ind w:firstLine="560" w:firstLineChars="200"/>
      </w:pPr>
      <w:r>
        <w:t>如</w:t>
      </w:r>
      <w:r>
        <w:rPr>
          <w:rFonts w:hint="eastAsia"/>
        </w:rPr>
        <w:t>上述</w:t>
      </w:r>
      <w:r>
        <w:t>步骤S</w:t>
      </w:r>
      <w:r>
        <w:rPr>
          <w:rFonts w:hint="eastAsia"/>
        </w:rPr>
        <w:t>12</w:t>
      </w:r>
      <w:r>
        <w:t>0所述，</w:t>
      </w:r>
      <w:r>
        <w:rPr>
          <w:rFonts w:hint="eastAsia"/>
        </w:rPr>
        <w:t>依据所述初始数据得到局部异常度和整体健康度。</w:t>
      </w:r>
    </w:p>
    <w:p w14:paraId="06835EEF">
      <w:pPr>
        <w:pStyle w:val="11"/>
        <w:ind w:firstLine="560" w:firstLineChars="200"/>
      </w:pPr>
      <w:r>
        <w:t>在本发明一实施例中，可以结合下列描述进一步说明步骤S</w:t>
      </w:r>
      <w:r>
        <w:rPr>
          <w:rFonts w:hint="eastAsia"/>
        </w:rPr>
        <w:t>12</w:t>
      </w:r>
      <w:r>
        <w:t>0</w:t>
      </w:r>
      <w:r>
        <w:rPr>
          <w:rFonts w:hint="eastAsia"/>
        </w:rPr>
        <w:t>所述“依据所述初始数据得到局部异常度和整体健康度”</w:t>
      </w:r>
      <w:r>
        <w:t>的具体过程。</w:t>
      </w:r>
    </w:p>
    <w:p w14:paraId="78DDBB3B">
      <w:pPr>
        <w:pStyle w:val="11"/>
        <w:ind w:firstLine="560" w:firstLineChars="200"/>
      </w:pPr>
      <w:r>
        <w:rPr>
          <w:rFonts w:hint="eastAsia"/>
        </w:rPr>
        <w:t>如下列步骤所述，依据所述初始水轮发电机数据和初始负荷数据进行单测点分析得到局部异常度；依据所述初始水轮发电机数据，所述初始负荷数据以及所述初始环境温度数据进行多测点分析得到整体健康度。</w:t>
      </w:r>
    </w:p>
    <w:p w14:paraId="6D64C06A">
      <w:pPr>
        <w:pStyle w:val="11"/>
        <w:ind w:firstLine="560" w:firstLineChars="200"/>
      </w:pPr>
      <w:r>
        <w:t>在本发明一实施例中，可以结合下列描述进一步说明步骤</w:t>
      </w:r>
      <w:r>
        <w:rPr>
          <w:rFonts w:hint="eastAsia"/>
        </w:rPr>
        <w:t>所述“依据所述初始水轮发电机数据和初始负荷数据进行单测点分析得到局部异常度”</w:t>
      </w:r>
      <w:r>
        <w:t>的具体过程。</w:t>
      </w:r>
    </w:p>
    <w:p w14:paraId="4D36979F">
      <w:pPr>
        <w:pStyle w:val="11"/>
        <w:ind w:firstLine="560" w:firstLineChars="200"/>
      </w:pPr>
      <w:r>
        <w:rPr>
          <w:rFonts w:hint="eastAsia"/>
        </w:rPr>
        <w:t>如下列步骤所述，依据所述初始水轮发电机数据和初始负荷数据和预设单测点模型得到目标状态量；依据所述目标状态量和标准状态量进行比对得到所述局部异常度。所述标准状态量为预先设置。</w:t>
      </w:r>
    </w:p>
    <w:p w14:paraId="42638501">
      <w:pPr>
        <w:pStyle w:val="11"/>
        <w:ind w:firstLine="560" w:firstLineChars="200"/>
      </w:pPr>
      <w:r>
        <w:rPr>
          <w:rFonts w:hint="eastAsia"/>
        </w:rPr>
        <w:t>在一具体实施例中，开发基于单测点输出的异常检测和预测模型，基于设备重要测点及其相关测点数据，分别利用基于不同原理的智能算法开发多个单测点预测模型以预测单测点的健康状态。对数据挖掘领域应用较多的提升树算法与自编码器算法进行改进，使其适用于水电设备信息挖掘与故障预警。研发包括但不限于可自动调参的 LightBGM和XGBoost算法、增强学习的改进Autoencoder算法等，分别利用所研究的智能算法开发多个单测点预测模型。预测模型应构建正常状态下测点分布规律，并能预测单测点的状态，根据预测状态与实际状态进行单个测点异常的预测。预测测点为水轮发电机组上导轴承系统、推导轴承系统和水导轴承系统设备的常用测点。</w:t>
      </w:r>
    </w:p>
    <w:p w14:paraId="64AA8B72">
      <w:pPr>
        <w:pStyle w:val="11"/>
        <w:ind w:firstLine="560" w:firstLineChars="200"/>
        <w:rPr>
          <w:rFonts w:hint="eastAsia"/>
          <w:highlight w:val="yellow"/>
        </w:rPr>
      </w:pPr>
      <w:r>
        <w:rPr>
          <w:rFonts w:hint="eastAsia"/>
        </w:rPr>
        <w:t>水电机组单测点的设备健康预警预测分析所使用的主要分析手段是采用预测状态量与标准状态量的偏差进行评估分析，同时通过偏差度建立异常风险的评估概率，此方法是较好的一种从单变量角度去思考偏差的方法。</w:t>
      </w:r>
      <w:r>
        <w:rPr>
          <w:rFonts w:hint="eastAsia"/>
          <w:lang w:val="en-US" w:eastAsia="zh-CN"/>
        </w:rPr>
        <w:t>然而，</w:t>
      </w:r>
      <w:r>
        <w:rPr>
          <w:rFonts w:hint="eastAsia"/>
        </w:rPr>
        <w:t>目前对于偏离程度所导致的风险分布情况尚不明确，且在不同工况下，尤其是C级维修后，测点的偏离程度存在差异。</w:t>
      </w:r>
      <w:r>
        <w:rPr>
          <w:rFonts w:hint="eastAsia"/>
          <w:lang w:val="en-US" w:eastAsia="zh-CN"/>
        </w:rPr>
        <w:t>为了进一步提升建模的有效性，</w:t>
      </w:r>
      <w:r>
        <w:rPr>
          <w:rFonts w:hint="eastAsia"/>
        </w:rPr>
        <w:t>根据水电机组的经验</w:t>
      </w:r>
      <w:r>
        <w:rPr>
          <w:rFonts w:hint="eastAsia"/>
          <w:highlight w:val="none"/>
          <w:lang w:val="en-US" w:eastAsia="zh-CN"/>
        </w:rPr>
        <w:t>和</w:t>
      </w:r>
      <w:r>
        <w:rPr>
          <w:rFonts w:hint="eastAsia"/>
          <w:highlight w:val="none"/>
        </w:rPr>
        <w:t>数据规律，提出了在此基础上增加正常区间估计模型</w:t>
      </w:r>
      <w:r>
        <w:rPr>
          <w:rFonts w:hint="eastAsia"/>
          <w:highlight w:val="none"/>
          <w:lang w:eastAsia="zh-CN"/>
        </w:rPr>
        <w:t>：</w:t>
      </w:r>
      <w:r>
        <w:rPr>
          <w:rFonts w:hint="eastAsia"/>
          <w:highlight w:val="none"/>
          <w:lang w:val="en-US" w:eastAsia="zh-CN"/>
        </w:rPr>
        <w:t>使用统计模型对不同工况下的健康区间进行估计，以了解</w:t>
      </w:r>
      <w:r>
        <w:rPr>
          <w:rFonts w:hint="eastAsia"/>
          <w:highlight w:val="none"/>
        </w:rPr>
        <w:t>偏离度</w:t>
      </w:r>
      <w:r>
        <w:rPr>
          <w:rFonts w:hint="eastAsia"/>
          <w:highlight w:val="none"/>
          <w:lang w:eastAsia="zh-CN"/>
        </w:rPr>
        <w:t>对</w:t>
      </w:r>
      <w:r>
        <w:rPr>
          <w:rFonts w:hint="eastAsia"/>
          <w:highlight w:val="none"/>
        </w:rPr>
        <w:t>设备缺陷风险</w:t>
      </w:r>
      <w:r>
        <w:rPr>
          <w:rFonts w:hint="eastAsia"/>
          <w:highlight w:val="none"/>
          <w:lang w:eastAsia="zh-CN"/>
        </w:rPr>
        <w:t>和</w:t>
      </w:r>
      <w:r>
        <w:rPr>
          <w:rFonts w:hint="eastAsia"/>
          <w:highlight w:val="none"/>
        </w:rPr>
        <w:t>劣化风险的</w:t>
      </w:r>
      <w:r>
        <w:rPr>
          <w:rFonts w:hint="eastAsia"/>
          <w:highlight w:val="none"/>
          <w:lang w:val="en-US" w:eastAsia="zh-CN"/>
        </w:rPr>
        <w:t>影响</w:t>
      </w:r>
      <w:r>
        <w:rPr>
          <w:rFonts w:hint="eastAsia"/>
          <w:highlight w:val="none"/>
        </w:rPr>
        <w:t>。</w:t>
      </w:r>
    </w:p>
    <w:p w14:paraId="15762CF4">
      <w:pPr>
        <w:pStyle w:val="11"/>
        <w:ind w:firstLine="560" w:firstLineChars="200"/>
      </w:pPr>
      <w:r>
        <w:rPr>
          <w:rFonts w:hint="eastAsia"/>
        </w:rPr>
        <w:t>对于单测点状态量的风险预警预测分析主要根据输入相关状态量，利用机器学习或者深度学习算法预测目标状态量的输出，根据目标状态量的输出与真实值进行对比确定健康偏离度。针对水电机组相关特征数据的整理，确定输入特征和目标特征，分别利用基于不同原理的智能算法开发多个单测点预测模型以预测单测点的健康状态。对数据挖掘领域应用较多的提升树算法与自编码器算法进行改进，使其适用于水电机组设备信息挖掘与故障预警。研发包括但不限于可自动调参的 LightBGM和XGBoost算法</w:t>
      </w:r>
      <w:r>
        <w:rPr>
          <w:rFonts w:hint="eastAsia"/>
          <w:lang w:eastAsia="zh-CN"/>
        </w:rPr>
        <w:t>、</w:t>
      </w:r>
      <w:r>
        <w:rPr>
          <w:rFonts w:hint="eastAsia"/>
        </w:rPr>
        <w:t>增强学习的改进Autoencoder算法等。具体的实现过程如下：</w:t>
      </w:r>
    </w:p>
    <w:p w14:paraId="71A74895">
      <w:pPr>
        <w:pStyle w:val="11"/>
        <w:ind w:firstLine="560" w:firstLineChars="200"/>
      </w:pPr>
      <w:r>
        <w:rPr>
          <w:rFonts w:hint="eastAsia"/>
        </w:rPr>
        <w:t>模型输入：</w:t>
      </w:r>
    </w:p>
    <w:p w14:paraId="399861F5">
      <w:pPr>
        <w:pStyle w:val="11"/>
        <w:ind w:firstLine="560" w:firstLineChars="200"/>
      </w:pPr>
      <w:r>
        <w:rPr>
          <w:rFonts w:hint="eastAsia"/>
        </w:rPr>
        <w:t>目标变量：上导轴承8#瓦温；</w:t>
      </w:r>
    </w:p>
    <w:p w14:paraId="25F2C826">
      <w:pPr>
        <w:pStyle w:val="11"/>
        <w:ind w:firstLine="560" w:firstLineChars="200"/>
      </w:pPr>
      <w:r>
        <w:rPr>
          <w:rFonts w:hint="eastAsia"/>
        </w:rPr>
        <w:t>解释变量：有功功率，水头，上导轴承油位，上导轴承油温，上导轴承X向摆度，上导轴承Y向摆度；</w:t>
      </w:r>
    </w:p>
    <w:p w14:paraId="6DF532F8">
      <w:pPr>
        <w:pStyle w:val="11"/>
        <w:ind w:firstLine="560" w:firstLineChars="200"/>
      </w:pPr>
      <w:r>
        <w:rPr>
          <w:rFonts w:hint="eastAsia"/>
        </w:rPr>
        <w:t>训练数据：原始数据前80%，约630000条；</w:t>
      </w:r>
    </w:p>
    <w:p w14:paraId="72B133C6">
      <w:pPr>
        <w:pStyle w:val="11"/>
        <w:ind w:firstLine="560" w:firstLineChars="200"/>
      </w:pPr>
      <w:r>
        <w:rPr>
          <w:rFonts w:hint="eastAsia"/>
        </w:rPr>
        <w:t>测试数据：原始数据后20%，约160000条。</w:t>
      </w:r>
    </w:p>
    <w:p w14:paraId="131C317D">
      <w:pPr>
        <w:pStyle w:val="11"/>
        <w:ind w:firstLine="560" w:firstLineChars="200"/>
      </w:pPr>
      <w:r>
        <w:rPr>
          <w:rFonts w:hint="eastAsia"/>
        </w:rPr>
        <w:t>模型训练：对于单测点的预警预测模型而言，根据不同模型原理特点，</w:t>
      </w:r>
      <w:r>
        <w:rPr>
          <w:rFonts w:hint="eastAsia"/>
          <w:highlight w:val="none"/>
        </w:rPr>
        <w:t>分别进行建模，</w:t>
      </w:r>
      <w:r>
        <w:rPr>
          <w:rFonts w:hint="eastAsia"/>
        </w:rPr>
        <w:t>对于目前的模型我们主要采用 LightBGM</w:t>
      </w:r>
      <w:r>
        <w:rPr>
          <w:rFonts w:hint="eastAsia"/>
          <w:lang w:val="en-US" w:eastAsia="zh-CN"/>
        </w:rPr>
        <w:t>算法</w:t>
      </w:r>
      <w:r>
        <w:rPr>
          <w:rFonts w:hint="eastAsia"/>
          <w:lang w:eastAsia="zh-CN"/>
        </w:rPr>
        <w:t>、</w:t>
      </w:r>
      <w:r>
        <w:rPr>
          <w:rFonts w:hint="eastAsia"/>
        </w:rPr>
        <w:t>XGBoost算法</w:t>
      </w:r>
      <w:r>
        <w:rPr>
          <w:rFonts w:hint="eastAsia"/>
          <w:lang w:eastAsia="zh-CN"/>
        </w:rPr>
        <w:t>、</w:t>
      </w:r>
      <w:r>
        <w:rPr>
          <w:rFonts w:hint="eastAsia"/>
        </w:rPr>
        <w:t>Autoencoder算法进行对比分析，下面对</w:t>
      </w:r>
      <w:r>
        <w:rPr>
          <w:rFonts w:hint="eastAsia"/>
          <w:highlight w:val="none"/>
        </w:rPr>
        <w:t>三类算法原理的优缺点进行综</w:t>
      </w:r>
      <w:r>
        <w:rPr>
          <w:rFonts w:hint="eastAsia"/>
        </w:rPr>
        <w:t>合分析。综合分析如下：</w:t>
      </w:r>
    </w:p>
    <w:p w14:paraId="3BA333F2">
      <w:pPr>
        <w:pStyle w:val="11"/>
        <w:ind w:firstLine="560" w:firstLineChars="200"/>
      </w:pPr>
      <w:r>
        <w:rPr>
          <w:rFonts w:hint="eastAsia"/>
        </w:rPr>
        <w:t>算法训练原理：</w:t>
      </w:r>
    </w:p>
    <w:p w14:paraId="7F0C92D7">
      <w:pPr>
        <w:pStyle w:val="11"/>
        <w:ind w:firstLine="560" w:firstLineChars="200"/>
      </w:pPr>
      <w:r>
        <w:rPr>
          <w:rFonts w:hint="eastAsia"/>
        </w:rPr>
        <w:t>LightBGM算法训练原理：LightBGM以决策树为基础，是GBDT算法的一个实现，支持高效率的并行训练，并且具有更快的训练速度、更低的内存消耗、更好的准确率、支持分布式可以快速处理海量数据等优点。在每次的训练结果的基础上继续迭代下一个模型，提高正确率，最终达到最优的精度。GBDT在每一次迭代的时候，都需要遍历整个训练数据多次。如果把整个训练数据装进内存则会限制训练数据的大小；如果不装进内存，反复地读写训练数据又会消耗非常大</w:t>
      </w:r>
      <w:r>
        <w:rPr>
          <w:rFonts w:hint="eastAsia"/>
          <w:lang w:val="en-US" w:eastAsia="zh-CN"/>
        </w:rPr>
        <w:t>量</w:t>
      </w:r>
      <w:r>
        <w:rPr>
          <w:rFonts w:hint="eastAsia"/>
        </w:rPr>
        <w:t>的时间。尤其面对工业级海量的数据，普通的GBDT算法</w:t>
      </w:r>
      <w:r>
        <w:rPr>
          <w:rFonts w:hint="eastAsia"/>
          <w:lang w:val="en-US" w:eastAsia="zh-CN"/>
        </w:rPr>
        <w:t>占用内存较大、训练效率较低</w:t>
      </w:r>
      <w:r>
        <w:rPr>
          <w:rFonts w:hint="eastAsia"/>
        </w:rPr>
        <w:t>，LightGBM有效解决了GBDT在海量数据</w:t>
      </w:r>
      <w:r>
        <w:rPr>
          <w:rFonts w:hint="eastAsia"/>
          <w:lang w:val="en-US" w:eastAsia="zh-CN"/>
        </w:rPr>
        <w:t>上</w:t>
      </w:r>
      <w:r>
        <w:rPr>
          <w:rFonts w:hint="eastAsia"/>
        </w:rPr>
        <w:t>遇到的问题，可以更好更快地用于电力实践。LightGBM使用控制量类型的状态量作为输入特征数据进行训练，最终输出上导瓦温目标预测状态量，通过目标预测状态量和目标真实状态量的偏差量来估计健康风险程度以及异常风险概率。</w:t>
      </w:r>
    </w:p>
    <w:p w14:paraId="206A50B2">
      <w:pPr>
        <w:pStyle w:val="11"/>
        <w:ind w:firstLine="560" w:firstLineChars="200"/>
        <w:rPr>
          <w:highlight w:val="none"/>
        </w:rPr>
      </w:pPr>
      <w:r>
        <w:rPr>
          <w:rFonts w:hint="eastAsia"/>
        </w:rPr>
        <w:t>XGBoost算法训练原理：XGBoost是基于提升树的加法模型，是GBDT的一种，其基本思想和GBDT一样，但是增加了许多优化。其使用的每一个基分类器都是回归树，训练方式是采用前向分步算法逐步优化里面的每个基学习器。算法基本思想是：首先，对所有特征都按照特征值进行预排序；其次，在遍历分割点的时候用O(#data)的代价找到</w:t>
      </w:r>
      <w:r>
        <w:rPr>
          <w:rFonts w:hint="eastAsia"/>
          <w:lang w:val="en-US" w:eastAsia="zh-CN"/>
        </w:rPr>
        <w:t>每</w:t>
      </w:r>
      <w:r>
        <w:rPr>
          <w:rFonts w:hint="eastAsia"/>
        </w:rPr>
        <w:t>一个特征上的最好分割点；最后，</w:t>
      </w:r>
      <w:r>
        <w:rPr>
          <w:rFonts w:hint="eastAsia"/>
          <w:lang w:val="en-US" w:eastAsia="zh-CN"/>
        </w:rPr>
        <w:t>比对选择全局的</w:t>
      </w:r>
      <w:r>
        <w:rPr>
          <w:rFonts w:hint="eastAsia"/>
        </w:rPr>
        <w:t>最好分割点，将数据分裂成左右子节点。XGBoost仍然是使用控制量类型的特征量进行训练，通过预测上导瓦温与实际上导瓦温来估计健康</w:t>
      </w:r>
      <w:r>
        <w:rPr>
          <w:rFonts w:hint="eastAsia"/>
          <w:highlight w:val="none"/>
        </w:rPr>
        <w:t>偏差度以估计风险。</w:t>
      </w:r>
    </w:p>
    <w:p w14:paraId="29A6899E">
      <w:pPr>
        <w:pStyle w:val="11"/>
        <w:ind w:firstLine="560" w:firstLineChars="200"/>
      </w:pPr>
      <w:r>
        <w:rPr>
          <w:rFonts w:hint="eastAsia"/>
        </w:rPr>
        <w:t>Autoencoder算法训练原理；Auto-Encoder自编码器算法，是一种无监督式学习模型。它基于反向传播算法与最优化方法，利用输入上导瓦温本身作为监督，来指导神经网络尝试学习一个映射关系，得到重构输出</w:t>
      </w:r>
      <w:r>
        <w:rPr>
          <w:rFonts w:hint="eastAsia"/>
          <w:lang w:val="en-US" w:eastAsia="zh-CN"/>
        </w:rPr>
        <w:t>的</w:t>
      </w:r>
      <w:r>
        <w:rPr>
          <w:rFonts w:hint="eastAsia"/>
        </w:rPr>
        <w:t>上导瓦温预测值</w:t>
      </w:r>
      <w:r>
        <w:rPr>
          <w:rFonts w:hint="eastAsia"/>
          <w:highlight w:val="none"/>
        </w:rPr>
        <w:t>。</w:t>
      </w:r>
      <w:r>
        <w:rPr>
          <w:rFonts w:hint="eastAsia"/>
          <w:highlight w:val="none"/>
        </w:rPr>
        <w:t>在时间序列异常检测场景下，异常</w:t>
      </w:r>
      <w:r>
        <w:rPr>
          <w:rFonts w:hint="eastAsia"/>
          <w:highlight w:val="none"/>
          <w:lang w:val="en-US" w:eastAsia="zh-CN"/>
        </w:rPr>
        <w:t>样本数量通常远小于</w:t>
      </w:r>
      <w:r>
        <w:rPr>
          <w:rFonts w:hint="eastAsia"/>
          <w:highlight w:val="none"/>
        </w:rPr>
        <w:t>正常</w:t>
      </w:r>
      <w:r>
        <w:rPr>
          <w:rFonts w:hint="eastAsia"/>
          <w:highlight w:val="none"/>
          <w:lang w:val="en-US" w:eastAsia="zh-CN"/>
        </w:rPr>
        <w:t>样本数量</w:t>
      </w:r>
      <w:r>
        <w:rPr>
          <w:rFonts w:hint="eastAsia"/>
          <w:highlight w:val="none"/>
        </w:rPr>
        <w:t>，</w:t>
      </w:r>
      <w:r>
        <w:rPr>
          <w:rFonts w:hint="eastAsia"/>
          <w:highlight w:val="none"/>
        </w:rPr>
        <w:t>当</w:t>
      </w:r>
      <w:r>
        <w:rPr>
          <w:rFonts w:hint="eastAsia"/>
          <w:highlight w:val="none"/>
        </w:rPr>
        <w:t>使用自编码器重构出来的上导瓦温预测值跟原始输入的差异超出一定偏差</w:t>
      </w:r>
      <w:r>
        <w:rPr>
          <w:rFonts w:hint="eastAsia"/>
          <w:highlight w:val="none"/>
        </w:rPr>
        <w:t>时</w:t>
      </w:r>
      <w:r>
        <w:rPr>
          <w:rFonts w:hint="eastAsia"/>
          <w:highlight w:val="none"/>
        </w:rPr>
        <w:t>，</w:t>
      </w:r>
      <w:r>
        <w:rPr>
          <w:rFonts w:hint="eastAsia"/>
          <w:highlight w:val="none"/>
        </w:rPr>
        <w:t>即认为</w:t>
      </w:r>
      <w:r>
        <w:rPr>
          <w:rFonts w:hint="eastAsia"/>
          <w:highlight w:val="none"/>
        </w:rPr>
        <w:t>原始时间序列存在异常</w:t>
      </w:r>
      <w:r>
        <w:rPr>
          <w:rFonts w:hint="eastAsia"/>
          <w:highlight w:val="none"/>
          <w:lang w:eastAsia="zh-CN"/>
        </w:rPr>
        <w:t>，</w:t>
      </w:r>
      <w:r>
        <w:rPr>
          <w:rFonts w:hint="eastAsia"/>
          <w:highlight w:val="none"/>
          <w:lang w:val="en-US" w:eastAsia="zh-CN"/>
        </w:rPr>
        <w:t>进一步</w:t>
      </w:r>
      <w:r>
        <w:rPr>
          <w:rFonts w:hint="eastAsia"/>
          <w:highlight w:val="none"/>
        </w:rPr>
        <w:t>可以</w:t>
      </w:r>
      <w:r>
        <w:rPr>
          <w:rFonts w:hint="eastAsia"/>
        </w:rPr>
        <w:t>估计风险异常概率。整个原理如图11所示。整体的优化策略如图12所示。</w:t>
      </w:r>
    </w:p>
    <w:p w14:paraId="74FA3AC7">
      <w:pPr>
        <w:pStyle w:val="11"/>
        <w:ind w:firstLine="560" w:firstLineChars="200"/>
      </w:pPr>
      <w:r>
        <w:rPr>
          <w:rFonts w:hint="eastAsia"/>
        </w:rPr>
        <w:t>在一具体实施例中，Auto-Encoder，XGBoost，LightGBM本质上都是一种回归预测方法，可以通过MAE，MSE，RMSE进行评价。</w:t>
      </w:r>
    </w:p>
    <w:p w14:paraId="3EADCFF7">
      <w:pPr>
        <w:pStyle w:val="11"/>
        <w:spacing w:line="360" w:lineRule="auto"/>
        <w:ind w:firstLine="560" w:firstLineChars="200"/>
      </w:pPr>
      <w:r>
        <w:rPr>
          <w:rFonts w:hint="eastAsia"/>
        </w:rPr>
        <w:t>平均绝对误差MAE：</w:t>
      </w:r>
      <w:r>
        <w:rPr>
          <w:rFonts w:hint="eastAsia"/>
        </w:rPr>
        <w:object>
          <v:shape id="_x0000_i1025" o:spt="75" type="#_x0000_t75" style="height:34.2pt;width:160.2pt;" o:ole="t" filled="f" o:preferrelative="t" stroked="f" coordsize="21600,21600">
            <v:path/>
            <v:fill on="f" focussize="0,0"/>
            <v:stroke on="f" joinstyle="miter"/>
            <v:imagedata r:id="rId23" o:title=""/>
            <o:lock v:ext="edit" aspectratio="t"/>
            <w10:wrap type="none"/>
            <w10:anchorlock/>
          </v:shape>
          <o:OLEObject Type="Embed" ProgID="Equation.3" ShapeID="_x0000_i1025" DrawAspect="Content" ObjectID="_1468075725" r:id="rId22">
            <o:LockedField>false</o:LockedField>
          </o:OLEObject>
        </w:object>
      </w:r>
      <w:r>
        <w:rPr>
          <w:rFonts w:hint="eastAsia"/>
        </w:rPr>
        <w:t>；</w:t>
      </w:r>
    </w:p>
    <w:p w14:paraId="2D101152">
      <w:pPr>
        <w:pStyle w:val="11"/>
        <w:spacing w:line="360" w:lineRule="auto"/>
        <w:ind w:firstLine="560" w:firstLineChars="200"/>
      </w:pPr>
      <w:r>
        <w:rPr>
          <w:rFonts w:hint="eastAsia"/>
        </w:rPr>
        <w:t>均方误差MSE：</w:t>
      </w:r>
      <w:r>
        <w:rPr>
          <w:rFonts w:hint="eastAsia"/>
        </w:rPr>
        <w:object>
          <v:shape id="_x0000_i1026" o:spt="75" type="#_x0000_t75" style="height:34.2pt;width:151.2pt;" o:ole="t" filled="f" o:preferrelative="t" stroked="f" coordsize="21600,21600">
            <v:path/>
            <v:fill on="f" focussize="0,0"/>
            <v:stroke on="f" joinstyle="miter"/>
            <v:imagedata r:id="rId25" o:title=""/>
            <o:lock v:ext="edit" aspectratio="t"/>
            <w10:wrap type="none"/>
            <w10:anchorlock/>
          </v:shape>
          <o:OLEObject Type="Embed" ProgID="Equation.3" ShapeID="_x0000_i1026" DrawAspect="Content" ObjectID="_1468075726" r:id="rId24">
            <o:LockedField>false</o:LockedField>
          </o:OLEObject>
        </w:object>
      </w:r>
      <w:r>
        <w:rPr>
          <w:rFonts w:hint="eastAsia"/>
        </w:rPr>
        <w:t>；</w:t>
      </w:r>
    </w:p>
    <w:p w14:paraId="5C75416B">
      <w:pPr>
        <w:pStyle w:val="11"/>
        <w:spacing w:line="360" w:lineRule="auto"/>
        <w:ind w:firstLine="560" w:firstLineChars="200"/>
      </w:pPr>
      <w:r>
        <w:rPr>
          <w:rFonts w:hint="eastAsia"/>
        </w:rPr>
        <w:t>均方根误差RMSE:</w:t>
      </w:r>
      <w:r>
        <w:rPr>
          <w:rFonts w:hint="eastAsia"/>
        </w:rPr>
        <w:object>
          <v:shape id="_x0000_i1027" o:spt="75" type="#_x0000_t75" style="height:37.8pt;width:169.8pt;" o:ole="t" filled="f" o:preferrelative="t" stroked="f" coordsize="21600,21600">
            <v:path/>
            <v:fill on="f" focussize="0,0"/>
            <v:stroke on="f" joinstyle="miter"/>
            <v:imagedata r:id="rId27" o:title=""/>
            <o:lock v:ext="edit" aspectratio="t"/>
            <w10:wrap type="none"/>
            <w10:anchorlock/>
          </v:shape>
          <o:OLEObject Type="Embed" ProgID="Equation.3" ShapeID="_x0000_i1027" DrawAspect="Content" ObjectID="_1468075727" r:id="rId26">
            <o:LockedField>false</o:LockedField>
          </o:OLEObject>
        </w:object>
      </w:r>
      <w:r>
        <w:rPr>
          <w:rFonts w:hint="eastAsia"/>
        </w:rPr>
        <w:t>。</w:t>
      </w:r>
    </w:p>
    <w:p w14:paraId="195B7C6A">
      <w:pPr>
        <w:pStyle w:val="11"/>
        <w:ind w:firstLine="560" w:firstLineChars="200"/>
      </w:pPr>
      <w:r>
        <w:rPr>
          <w:rFonts w:hint="eastAsia"/>
        </w:rPr>
        <w:t>综上所述：对不同算法原理下、不同数据分布下的单变量偏离度健康估计，最终分析结果如下图13所示。</w:t>
      </w:r>
      <w:r>
        <w:rPr>
          <w:highlight w:val="none"/>
        </w:rPr>
        <w:t>Anomaly scores</w:t>
      </w:r>
      <w:r>
        <w:rPr>
          <w:rFonts w:hint="eastAsia"/>
          <w:highlight w:val="none"/>
        </w:rPr>
        <w:t>为经过</w:t>
      </w:r>
      <w:r>
        <w:rPr>
          <w:highlight w:val="none"/>
        </w:rPr>
        <w:t>ARIMA</w:t>
      </w:r>
      <w:r>
        <w:rPr>
          <w:rFonts w:hint="eastAsia"/>
          <w:highlight w:val="none"/>
        </w:rPr>
        <w:t>拟合后利用孤立森林对残差点计算的异常得分值，分数分布图如图</w:t>
      </w:r>
      <w:r>
        <w:rPr>
          <w:highlight w:val="none"/>
        </w:rPr>
        <w:t>14</w:t>
      </w:r>
      <w:r>
        <w:rPr>
          <w:rFonts w:hint="eastAsia"/>
          <w:highlight w:val="none"/>
        </w:rPr>
        <w:t>所示；</w:t>
      </w:r>
      <w:r>
        <w:rPr>
          <w:rFonts w:hint="eastAsia"/>
        </w:rPr>
        <w:t>Standardized residual 展示了经过ARIMA模型拟合后的残差曲线；Histogram estimated density 中展示残差分布曲线；Noramal QQ图用于检查残差序列是否符合正态分布；Correlogram它展示了时间序列观测值与其滞后（lag）版本之间的相关性。</w:t>
      </w:r>
    </w:p>
    <w:p w14:paraId="65C0C07A">
      <w:pPr>
        <w:pStyle w:val="11"/>
        <w:ind w:firstLine="560" w:firstLineChars="200"/>
      </w:pPr>
      <w:r>
        <w:t>在本发明一实施例中，可以结合下列描述进一步说明步骤</w:t>
      </w:r>
      <w:r>
        <w:rPr>
          <w:rFonts w:hint="eastAsia"/>
        </w:rPr>
        <w:t>所述“依据所述初始水轮发电机数据，所述初始负荷数据以及所述初始环境温度数据进行多测点分析得到整体健康度”</w:t>
      </w:r>
      <w:r>
        <w:t>的具体过程。</w:t>
      </w:r>
    </w:p>
    <w:p w14:paraId="2EA4FD96">
      <w:pPr>
        <w:pStyle w:val="11"/>
        <w:ind w:firstLine="560" w:firstLineChars="200"/>
      </w:pPr>
      <w:r>
        <w:rPr>
          <w:rFonts w:hint="eastAsia"/>
        </w:rPr>
        <w:t>如下列步骤所述，依据所述初始水轮发电机数据，所述初始负荷数据以及所述初始环境温度数据输入预设多测点模型得到预测健康度；依据所述预测健康度和标准健康度进行比对得到整体健康度。所述标准健康度是预先规定的值。</w:t>
      </w:r>
    </w:p>
    <w:p w14:paraId="0AA1213D">
      <w:pPr>
        <w:pStyle w:val="11"/>
        <w:ind w:firstLine="560" w:firstLineChars="200"/>
      </w:pPr>
      <w:r>
        <w:rPr>
          <w:rFonts w:hint="eastAsia"/>
        </w:rPr>
        <w:t>在一具体实施例中，开发基于多测点输出的设备整体健康度预测模型。</w:t>
      </w:r>
    </w:p>
    <w:p w14:paraId="6284C80C">
      <w:pPr>
        <w:pStyle w:val="11"/>
        <w:ind w:firstLine="560" w:firstLineChars="200"/>
      </w:pPr>
      <w:r>
        <w:rPr>
          <w:rFonts w:hint="eastAsia"/>
        </w:rPr>
        <w:t>基于平台中设备对象上的多维度监测数据，结合人工智能算法开发基于多种不同原理的设备/部件整体健康度预测模型，以综合评估设备状态的整体健康度。对设备信息挖掘与故障诊断中常用的SBM算法、超球算法、LSTM算法等进行优化，研发适用于水电领域的智能预警算法，结合所研究的智能算法开发设备/部件整体健康度预测模型，基于设备整体健康度模型进行设备的综合监测和整体预测。整体健康度预测模型应具备故障测点自诊断功能，在发生故障预测时自动对异常</w:t>
      </w:r>
      <w:r>
        <w:rPr>
          <w:rFonts w:hint="eastAsia"/>
          <w:highlight w:val="none"/>
        </w:rPr>
        <w:t>测点进行提取并基于故障风险</w:t>
      </w:r>
      <w:r>
        <w:rPr>
          <w:rFonts w:hint="eastAsia"/>
        </w:rPr>
        <w:t>进行排序，指导运维人员更快地定位故障、排除故障。设备对象包含水轮发电机组的上导轴承系统、推导轴承系统和水导轴承系统。其中每个多测点输出的设备整体健康度预测场景均需开发不少于文中所述的三种算法模型。</w:t>
      </w:r>
    </w:p>
    <w:p w14:paraId="1AFB589E">
      <w:pPr>
        <w:pStyle w:val="11"/>
        <w:ind w:firstLine="560" w:firstLineChars="200"/>
      </w:pPr>
      <w:r>
        <w:rPr>
          <w:rFonts w:hint="eastAsia"/>
        </w:rPr>
        <w:t>作为一种示例，对于多测点的预警预测分析，完成设备部件或者设备整体的健康评估，通过预测未来健康度与实际健康度之间的偏差来确定风险概率。首先</w:t>
      </w:r>
      <w:r>
        <w:rPr>
          <w:rFonts w:hint="eastAsia"/>
          <w:lang w:eastAsia="zh-CN"/>
        </w:rPr>
        <w:t>，</w:t>
      </w:r>
      <w:r>
        <w:rPr>
          <w:rFonts w:hint="eastAsia"/>
          <w:lang w:val="en-US" w:eastAsia="zh-CN"/>
        </w:rPr>
        <w:t>对</w:t>
      </w:r>
      <w:r>
        <w:rPr>
          <w:rFonts w:hint="eastAsia"/>
        </w:rPr>
        <w:t>历史样本空间中与部件或者整体设备</w:t>
      </w:r>
      <w:r>
        <w:rPr>
          <w:rFonts w:hint="eastAsia"/>
          <w:highlight w:val="none"/>
        </w:rPr>
        <w:t>健康相关的特征</w:t>
      </w:r>
      <w:r>
        <w:rPr>
          <w:rFonts w:hint="eastAsia"/>
        </w:rPr>
        <w:t>进行相关性分析，</w:t>
      </w:r>
      <w:r>
        <w:rPr>
          <w:rFonts w:hint="eastAsia"/>
          <w:lang w:val="en-US" w:eastAsia="zh-CN"/>
        </w:rPr>
        <w:t>据此选择合适特征并确定其权重</w:t>
      </w:r>
      <w:r>
        <w:rPr>
          <w:rFonts w:hint="eastAsia"/>
        </w:rPr>
        <w:t>，</w:t>
      </w:r>
      <w:r>
        <w:rPr>
          <w:rFonts w:hint="eastAsia"/>
          <w:lang w:val="en-US" w:eastAsia="zh-CN"/>
        </w:rPr>
        <w:t>生成</w:t>
      </w:r>
      <w:r>
        <w:rPr>
          <w:rFonts w:hint="eastAsia"/>
        </w:rPr>
        <w:t>历史样本空间的设备状态健康值</w:t>
      </w:r>
      <w:r>
        <w:rPr>
          <w:rFonts w:hint="eastAsia"/>
          <w:lang w:eastAsia="zh-CN"/>
        </w:rPr>
        <w:t>；</w:t>
      </w:r>
      <w:r>
        <w:rPr>
          <w:rFonts w:hint="eastAsia"/>
          <w:lang w:val="en-US" w:eastAsia="zh-CN"/>
        </w:rPr>
        <w:t>接着，</w:t>
      </w:r>
      <w:r>
        <w:rPr>
          <w:rFonts w:hint="eastAsia"/>
        </w:rPr>
        <w:t>输入</w:t>
      </w:r>
      <w:r>
        <w:rPr>
          <w:rFonts w:hint="eastAsia"/>
          <w:lang w:val="en-US" w:eastAsia="zh-CN"/>
        </w:rPr>
        <w:t>其他</w:t>
      </w:r>
      <w:r>
        <w:rPr>
          <w:rFonts w:hint="eastAsia"/>
        </w:rPr>
        <w:t>特征量和健康评价值，训练</w:t>
      </w:r>
      <w:r>
        <w:rPr>
          <w:rFonts w:hint="eastAsia"/>
          <w:lang w:val="en-US" w:eastAsia="zh-CN"/>
        </w:rPr>
        <w:t>预测</w:t>
      </w:r>
      <w:r>
        <w:rPr>
          <w:rFonts w:hint="eastAsia"/>
        </w:rPr>
        <w:t>模型</w:t>
      </w:r>
      <w:r>
        <w:rPr>
          <w:rFonts w:hint="eastAsia"/>
          <w:lang w:eastAsia="zh-CN"/>
        </w:rPr>
        <w:t>；</w:t>
      </w:r>
      <w:r>
        <w:rPr>
          <w:rFonts w:hint="eastAsia"/>
        </w:rPr>
        <w:t>最终</w:t>
      </w:r>
      <w:r>
        <w:rPr>
          <w:rFonts w:hint="eastAsia"/>
          <w:lang w:eastAsia="zh-CN"/>
        </w:rPr>
        <w:t>，</w:t>
      </w:r>
      <w:r>
        <w:rPr>
          <w:rFonts w:hint="eastAsia"/>
          <w:lang w:val="en-US" w:eastAsia="zh-CN"/>
        </w:rPr>
        <w:t>计算</w:t>
      </w:r>
      <w:r>
        <w:rPr>
          <w:rFonts w:hint="eastAsia"/>
        </w:rPr>
        <w:t>预测健康值</w:t>
      </w:r>
      <w:r>
        <w:rPr>
          <w:rFonts w:hint="eastAsia"/>
          <w:lang w:val="en-US" w:eastAsia="zh-CN"/>
        </w:rPr>
        <w:t>和实际健康值的偏离度，根据预警策略</w:t>
      </w:r>
      <w:r>
        <w:rPr>
          <w:rFonts w:hint="eastAsia"/>
        </w:rPr>
        <w:t>实现预警</w:t>
      </w:r>
      <w:r>
        <w:rPr>
          <w:rFonts w:hint="eastAsia"/>
          <w:lang w:val="en-US" w:eastAsia="zh-CN"/>
        </w:rPr>
        <w:t>功能</w:t>
      </w:r>
      <w:r>
        <w:rPr>
          <w:rFonts w:hint="eastAsia"/>
        </w:rPr>
        <w:t>。整体如下几个关键步骤：</w:t>
      </w:r>
    </w:p>
    <w:p w14:paraId="37835A39">
      <w:pPr>
        <w:pStyle w:val="11"/>
        <w:ind w:firstLine="560" w:firstLineChars="200"/>
      </w:pPr>
      <w:r>
        <w:rPr>
          <w:rFonts w:hint="eastAsia"/>
        </w:rPr>
        <w:t>数据输入：</w:t>
      </w:r>
    </w:p>
    <w:p w14:paraId="452918B8">
      <w:pPr>
        <w:pStyle w:val="11"/>
        <w:ind w:firstLine="560" w:firstLineChars="200"/>
      </w:pPr>
      <w:r>
        <w:rPr>
          <w:rFonts w:hint="eastAsia"/>
        </w:rPr>
        <w:t>目标变量：上导轴承8#瓦温；</w:t>
      </w:r>
    </w:p>
    <w:p w14:paraId="54A626C8">
      <w:pPr>
        <w:pStyle w:val="11"/>
        <w:ind w:firstLine="560" w:firstLineChars="200"/>
      </w:pPr>
      <w:r>
        <w:rPr>
          <w:rFonts w:hint="eastAsia"/>
        </w:rPr>
        <w:t>解释变量：上导轴承相邻瓦温</w:t>
      </w:r>
      <w:r>
        <w:rPr>
          <w:rFonts w:hint="eastAsia"/>
          <w:lang w:eastAsia="zh-CN"/>
        </w:rPr>
        <w:t>、</w:t>
      </w:r>
      <w:r>
        <w:rPr>
          <w:rFonts w:hint="eastAsia"/>
        </w:rPr>
        <w:t>有功功率</w:t>
      </w:r>
      <w:r>
        <w:rPr>
          <w:rFonts w:hint="eastAsia"/>
          <w:lang w:eastAsia="zh-CN"/>
        </w:rPr>
        <w:t>、</w:t>
      </w:r>
      <w:r>
        <w:rPr>
          <w:rFonts w:hint="eastAsia"/>
        </w:rPr>
        <w:t>水头</w:t>
      </w:r>
      <w:r>
        <w:rPr>
          <w:rFonts w:hint="eastAsia"/>
          <w:lang w:eastAsia="zh-CN"/>
        </w:rPr>
        <w:t>、</w:t>
      </w:r>
      <w:r>
        <w:rPr>
          <w:rFonts w:hint="eastAsia"/>
        </w:rPr>
        <w:t>上导轴承油位</w:t>
      </w:r>
      <w:r>
        <w:rPr>
          <w:rFonts w:hint="eastAsia"/>
          <w:lang w:eastAsia="zh-CN"/>
        </w:rPr>
        <w:t>、</w:t>
      </w:r>
      <w:r>
        <w:rPr>
          <w:rFonts w:hint="eastAsia"/>
        </w:rPr>
        <w:t>上导轴承油温</w:t>
      </w:r>
      <w:r>
        <w:rPr>
          <w:rFonts w:hint="eastAsia"/>
          <w:lang w:eastAsia="zh-CN"/>
        </w:rPr>
        <w:t>、</w:t>
      </w:r>
      <w:r>
        <w:rPr>
          <w:rFonts w:hint="eastAsia"/>
        </w:rPr>
        <w:t>上导轴承X向摆度</w:t>
      </w:r>
      <w:r>
        <w:rPr>
          <w:rFonts w:hint="eastAsia"/>
          <w:lang w:eastAsia="zh-CN"/>
        </w:rPr>
        <w:t>、</w:t>
      </w:r>
      <w:r>
        <w:rPr>
          <w:rFonts w:hint="eastAsia"/>
        </w:rPr>
        <w:t>上导轴承Y向摆度、冷却水流量等30个变量；</w:t>
      </w:r>
    </w:p>
    <w:p w14:paraId="052A9BA1">
      <w:pPr>
        <w:pStyle w:val="11"/>
        <w:ind w:firstLine="560" w:firstLineChars="200"/>
      </w:pPr>
      <w:r>
        <w:rPr>
          <w:rFonts w:hint="eastAsia"/>
        </w:rPr>
        <w:t>训练数据：原始数据前80%，约810000条；</w:t>
      </w:r>
    </w:p>
    <w:p w14:paraId="4EA12237">
      <w:pPr>
        <w:pStyle w:val="11"/>
        <w:ind w:firstLine="560" w:firstLineChars="200"/>
      </w:pPr>
      <w:r>
        <w:rPr>
          <w:rFonts w:hint="eastAsia"/>
        </w:rPr>
        <w:t>测试数据：原始数据后20%，约200000条。</w:t>
      </w:r>
    </w:p>
    <w:p w14:paraId="3127FAA2">
      <w:pPr>
        <w:pStyle w:val="11"/>
        <w:ind w:firstLine="560" w:firstLineChars="200"/>
        <w:rPr>
          <w:rFonts w:hint="eastAsia"/>
        </w:rPr>
      </w:pPr>
      <w:r>
        <w:rPr>
          <w:rFonts w:hint="eastAsia"/>
        </w:rPr>
        <w:t>模型训练：对于多测点的设备健康预警预测算法，通过SBM算法、超球算法、LSTM算法等算法进行综合验证，每个算法有自己独特原理，同时有不同的适用场景，对于水电机组健康管理而言，在不同工况下，特征数据的波动较大，不确定性和模糊性较强。所以应采用不同算法进行验证，发挥出大数据价值。整个核心算法流程如图15所示。</w:t>
      </w:r>
    </w:p>
    <w:p w14:paraId="6E18AF7F">
      <w:pPr>
        <w:pStyle w:val="11"/>
        <w:ind w:firstLine="0" w:firstLineChars="0"/>
      </w:pPr>
      <w:r>
        <w:rPr>
          <w:rFonts w:hint="eastAsia"/>
        </w:rPr>
        <w:t>在一具体实施例中，基于SBM算法优化训练原理如下：多测点预警采用基于SBM的优化算法，主要包含以下几点：</w:t>
      </w:r>
      <w:r>
        <w:rPr>
          <w:rFonts w:hint="eastAsia"/>
          <w:lang w:val="en-US" w:eastAsia="zh-CN"/>
        </w:rPr>
        <w:t>①</w:t>
      </w:r>
      <w:r>
        <w:rPr>
          <w:rFonts w:hint="eastAsia"/>
        </w:rPr>
        <w:t>针对SBM相似性表征能力差的问题，优化的SBM算法基于权重最大和贝叶斯优化的原则，动态实现保留最相似的向量，并去除剩余的向量，可以有效地删除噪音数据的影响</w:t>
      </w:r>
      <w:r>
        <w:rPr>
          <w:rFonts w:hint="eastAsia"/>
          <w:lang w:eastAsia="zh-CN"/>
        </w:rPr>
        <w:t>；</w:t>
      </w:r>
      <w:r>
        <w:rPr>
          <w:rFonts w:hint="eastAsia"/>
          <w:lang w:val="en-US" w:eastAsia="zh-CN"/>
        </w:rPr>
        <w:t>②</w:t>
      </w:r>
      <w:r>
        <w:rPr>
          <w:rFonts w:hint="eastAsia"/>
        </w:rPr>
        <w:t>针对SBM测量信号的相似性冗余的问题，优化的SBM算法基于自动关联的原则，将实际的向量与状态矩阵中的每个向量进行比较，状态矩阵仅为独立的标签分配一个相似性值，消除了相似性信号的溢出效应，提高了算法的鲁棒性；</w:t>
      </w:r>
      <w:r>
        <w:rPr>
          <w:rFonts w:hint="eastAsia"/>
          <w:lang w:val="en-US" w:eastAsia="zh-CN"/>
        </w:rPr>
        <w:t>③</w:t>
      </w:r>
      <w:r>
        <w:rPr>
          <w:rFonts w:hint="eastAsia"/>
        </w:rPr>
        <w:t>针对SBM对标签缺失值难以处理的问题，优化的SBM算法基于缺失值判定原则，将缺失值进行有效的区别，动态实现对状态矩阵的选择；</w:t>
      </w:r>
      <w:r>
        <w:rPr>
          <w:rFonts w:hint="eastAsia"/>
          <w:lang w:val="en-US" w:eastAsia="zh-CN"/>
        </w:rPr>
        <w:t>④</w:t>
      </w:r>
      <w:r>
        <w:rPr>
          <w:rFonts w:hint="eastAsia"/>
        </w:rPr>
        <w:t>针对SBM只能使用静态状态矩阵的问题，优化的SBM算法基于自学习规则，动态的实现状态矩阵的删减，有效的保留价值最大的数据作为状态矩阵。针对改进的SBM算法，最终形成工业级稳定的智能预警VBM算法。整个判断流程图如图16所示。</w:t>
      </w:r>
    </w:p>
    <w:p w14:paraId="670AD1A8">
      <w:pPr>
        <w:pStyle w:val="11"/>
        <w:ind w:firstLine="560" w:firstLineChars="200"/>
      </w:pPr>
      <w:r>
        <w:rPr>
          <w:rFonts w:hint="eastAsia"/>
        </w:rPr>
        <w:t>为了尽量减少错报，误报，漏报等情况，实现工业级稳定性强的智能预警算法，整体的智能预警策略如下：</w:t>
      </w:r>
    </w:p>
    <w:p w14:paraId="251A1A9C">
      <w:pPr>
        <w:pStyle w:val="11"/>
        <w:ind w:firstLine="560" w:firstLineChars="200"/>
      </w:pPr>
      <w:r>
        <w:rPr>
          <w:rFonts w:hint="eastAsia"/>
        </w:rPr>
        <w:t>滑动窗口比例（WindowRatio）</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74202F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3" w:type="pct"/>
            <w:vAlign w:val="center"/>
          </w:tcPr>
          <w:p w14:paraId="757BA0D2">
            <w:pPr>
              <w:pStyle w:val="11"/>
              <w:ind w:firstLine="0"/>
              <w:jc w:val="center"/>
            </w:pPr>
            <w:r>
              <w:rPr>
                <w:rFonts w:hint="eastAsia"/>
              </w:rPr>
              <w:t>名称</w:t>
            </w:r>
          </w:p>
        </w:tc>
        <w:tc>
          <w:tcPr>
            <w:tcW w:w="4146" w:type="pct"/>
          </w:tcPr>
          <w:p w14:paraId="22D58370">
            <w:pPr>
              <w:pStyle w:val="11"/>
              <w:ind w:firstLine="0"/>
              <w:jc w:val="center"/>
            </w:pPr>
            <w:r>
              <w:rPr>
                <w:rFonts w:hint="eastAsia"/>
              </w:rPr>
              <w:t>WindowRatio</w:t>
            </w:r>
          </w:p>
        </w:tc>
      </w:tr>
      <w:tr w14:paraId="5FE27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11DBD246">
            <w:pPr>
              <w:pStyle w:val="11"/>
              <w:ind w:firstLine="0"/>
              <w:jc w:val="center"/>
              <w:rPr>
                <w:sz w:val="24"/>
                <w:szCs w:val="18"/>
              </w:rPr>
            </w:pPr>
            <w:r>
              <w:rPr>
                <w:rFonts w:hint="eastAsia"/>
                <w:sz w:val="24"/>
                <w:szCs w:val="18"/>
              </w:rPr>
              <w:t>输入</w:t>
            </w:r>
          </w:p>
        </w:tc>
        <w:tc>
          <w:tcPr>
            <w:tcW w:w="4146" w:type="pct"/>
          </w:tcPr>
          <w:p w14:paraId="391E7104">
            <w:pPr>
              <w:pStyle w:val="11"/>
              <w:ind w:firstLine="0"/>
              <w:rPr>
                <w:sz w:val="24"/>
                <w:szCs w:val="18"/>
              </w:rPr>
            </w:pPr>
            <w:r>
              <w:rPr>
                <w:rFonts w:hint="eastAsia"/>
                <w:sz w:val="24"/>
                <w:szCs w:val="18"/>
              </w:rPr>
              <w:t xml:space="preserve">一个测点一连串时序数值对应的残差（如：最近18个残差）；窗口大小，残差阈值，正常点个数阈值     </w:t>
            </w:r>
          </w:p>
        </w:tc>
      </w:tr>
      <w:tr w14:paraId="2BBAF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0E49BB77">
            <w:pPr>
              <w:pStyle w:val="11"/>
              <w:ind w:firstLine="0"/>
              <w:jc w:val="center"/>
              <w:rPr>
                <w:sz w:val="24"/>
                <w:szCs w:val="18"/>
              </w:rPr>
            </w:pPr>
            <w:r>
              <w:rPr>
                <w:rFonts w:hint="eastAsia"/>
                <w:sz w:val="24"/>
                <w:szCs w:val="18"/>
              </w:rPr>
              <w:t>输出</w:t>
            </w:r>
          </w:p>
        </w:tc>
        <w:tc>
          <w:tcPr>
            <w:tcW w:w="4146" w:type="pct"/>
          </w:tcPr>
          <w:p w14:paraId="3DA9875E">
            <w:pPr>
              <w:pStyle w:val="11"/>
              <w:ind w:firstLine="0"/>
              <w:rPr>
                <w:sz w:val="24"/>
                <w:szCs w:val="18"/>
              </w:rPr>
            </w:pPr>
            <w:r>
              <w:rPr>
                <w:rFonts w:hint="eastAsia"/>
                <w:sz w:val="24"/>
                <w:szCs w:val="18"/>
              </w:rPr>
              <w:t>true 或 false</w:t>
            </w:r>
          </w:p>
        </w:tc>
      </w:tr>
      <w:tr w14:paraId="5948B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853" w:type="pct"/>
            <w:vAlign w:val="center"/>
          </w:tcPr>
          <w:p w14:paraId="3DCB9E23">
            <w:pPr>
              <w:pStyle w:val="11"/>
              <w:ind w:firstLine="0"/>
              <w:jc w:val="center"/>
              <w:rPr>
                <w:sz w:val="24"/>
                <w:szCs w:val="18"/>
              </w:rPr>
            </w:pPr>
            <w:r>
              <w:rPr>
                <w:rFonts w:hint="eastAsia"/>
                <w:sz w:val="24"/>
                <w:szCs w:val="18"/>
              </w:rPr>
              <w:t>功能/算法</w:t>
            </w:r>
          </w:p>
        </w:tc>
        <w:tc>
          <w:tcPr>
            <w:tcW w:w="4146" w:type="pct"/>
            <w:vAlign w:val="center"/>
          </w:tcPr>
          <w:p w14:paraId="477E7483">
            <w:pPr>
              <w:pStyle w:val="11"/>
              <w:ind w:firstLine="0"/>
              <w:rPr>
                <w:sz w:val="24"/>
                <w:szCs w:val="18"/>
              </w:rPr>
            </w:pPr>
            <w:r>
              <w:rPr>
                <w:rFonts w:hint="eastAsia"/>
                <w:sz w:val="24"/>
                <w:szCs w:val="18"/>
              </w:rPr>
              <w:t>此函数查看数据窗口并将其与阈值进行比较。如果正常点（残</w:t>
            </w:r>
            <w:r>
              <w:rPr>
                <w:rFonts w:hint="eastAsia"/>
                <w:sz w:val="24"/>
                <w:szCs w:val="18"/>
                <w:highlight w:val="none"/>
              </w:rPr>
              <w:t>差低于残差阈值）个数小于阈值，则windowRatio将返回true，否则将返回</w:t>
            </w:r>
            <w:r>
              <w:rPr>
                <w:rFonts w:hint="eastAsia"/>
                <w:sz w:val="24"/>
                <w:szCs w:val="18"/>
              </w:rPr>
              <w:t>false；</w:t>
            </w:r>
          </w:p>
        </w:tc>
      </w:tr>
    </w:tbl>
    <w:p w14:paraId="54AB5304">
      <w:pPr>
        <w:pStyle w:val="11"/>
        <w:ind w:firstLine="560" w:firstLineChars="200"/>
      </w:pPr>
      <w:r>
        <w:rPr>
          <w:rFonts w:hint="eastAsia"/>
        </w:rPr>
        <w:t xml:space="preserve">平滑残差 (Smooth Residual) </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1F646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3" w:type="pct"/>
            <w:vAlign w:val="center"/>
          </w:tcPr>
          <w:p w14:paraId="4B9CA934">
            <w:pPr>
              <w:pStyle w:val="11"/>
              <w:ind w:firstLine="0"/>
              <w:jc w:val="center"/>
            </w:pPr>
            <w:r>
              <w:rPr>
                <w:rFonts w:hint="eastAsia"/>
              </w:rPr>
              <w:t>名称</w:t>
            </w:r>
          </w:p>
        </w:tc>
        <w:tc>
          <w:tcPr>
            <w:tcW w:w="4146" w:type="pct"/>
          </w:tcPr>
          <w:p w14:paraId="5414072E">
            <w:pPr>
              <w:pStyle w:val="11"/>
              <w:ind w:firstLine="0"/>
              <w:jc w:val="center"/>
            </w:pPr>
            <w:r>
              <w:rPr>
                <w:rFonts w:hint="eastAsia"/>
              </w:rPr>
              <w:t>Smooth Residual</w:t>
            </w:r>
          </w:p>
        </w:tc>
      </w:tr>
      <w:tr w14:paraId="101DE2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68EA2F6A">
            <w:pPr>
              <w:pStyle w:val="11"/>
              <w:ind w:firstLine="0"/>
              <w:jc w:val="center"/>
              <w:rPr>
                <w:sz w:val="24"/>
                <w:szCs w:val="18"/>
              </w:rPr>
            </w:pPr>
            <w:r>
              <w:rPr>
                <w:rFonts w:hint="eastAsia"/>
                <w:sz w:val="24"/>
                <w:szCs w:val="18"/>
              </w:rPr>
              <w:t>输入</w:t>
            </w:r>
          </w:p>
        </w:tc>
        <w:tc>
          <w:tcPr>
            <w:tcW w:w="4146" w:type="pct"/>
          </w:tcPr>
          <w:p w14:paraId="7B29DD5B">
            <w:pPr>
              <w:pStyle w:val="11"/>
              <w:ind w:firstLine="0"/>
              <w:rPr>
                <w:sz w:val="24"/>
                <w:szCs w:val="18"/>
              </w:rPr>
            </w:pPr>
            <w:r>
              <w:rPr>
                <w:rFonts w:hint="eastAsia"/>
                <w:sz w:val="24"/>
                <w:szCs w:val="18"/>
              </w:rPr>
              <w:t>一个测点一连串时序数值对应的残差（默认最近6个残差）</w:t>
            </w:r>
          </w:p>
        </w:tc>
      </w:tr>
      <w:tr w14:paraId="35472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65936861">
            <w:pPr>
              <w:pStyle w:val="11"/>
              <w:ind w:firstLine="0"/>
              <w:jc w:val="center"/>
              <w:rPr>
                <w:sz w:val="24"/>
                <w:szCs w:val="18"/>
              </w:rPr>
            </w:pPr>
            <w:r>
              <w:rPr>
                <w:rFonts w:hint="eastAsia"/>
                <w:sz w:val="24"/>
                <w:szCs w:val="18"/>
              </w:rPr>
              <w:t>输出</w:t>
            </w:r>
          </w:p>
        </w:tc>
        <w:tc>
          <w:tcPr>
            <w:tcW w:w="4146" w:type="pct"/>
          </w:tcPr>
          <w:p w14:paraId="63184620">
            <w:pPr>
              <w:pStyle w:val="11"/>
              <w:ind w:firstLine="0"/>
              <w:rPr>
                <w:sz w:val="24"/>
                <w:szCs w:val="18"/>
              </w:rPr>
            </w:pPr>
            <w:r>
              <w:rPr>
                <w:rFonts w:hint="eastAsia"/>
                <w:sz w:val="24"/>
                <w:szCs w:val="18"/>
              </w:rPr>
              <w:t>一个测点当前数值的平滑残差</w:t>
            </w:r>
          </w:p>
        </w:tc>
      </w:tr>
      <w:tr w14:paraId="4E2ADF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5" w:hRule="atLeast"/>
        </w:trPr>
        <w:tc>
          <w:tcPr>
            <w:tcW w:w="853" w:type="pct"/>
            <w:vAlign w:val="center"/>
          </w:tcPr>
          <w:p w14:paraId="04D3761C">
            <w:pPr>
              <w:pStyle w:val="11"/>
              <w:ind w:firstLine="0"/>
              <w:jc w:val="center"/>
              <w:rPr>
                <w:sz w:val="24"/>
                <w:szCs w:val="18"/>
              </w:rPr>
            </w:pPr>
            <w:r>
              <w:rPr>
                <w:rFonts w:hint="eastAsia"/>
                <w:sz w:val="24"/>
                <w:szCs w:val="18"/>
              </w:rPr>
              <w:t>功能/算法</w:t>
            </w:r>
          </w:p>
        </w:tc>
        <w:tc>
          <w:tcPr>
            <w:tcW w:w="4146" w:type="pct"/>
            <w:vAlign w:val="center"/>
          </w:tcPr>
          <w:p w14:paraId="3F66CC31">
            <w:pPr>
              <w:pStyle w:val="11"/>
              <w:ind w:firstLine="0"/>
              <w:rPr>
                <w:sz w:val="24"/>
                <w:szCs w:val="18"/>
              </w:rPr>
            </w:pPr>
            <w:r>
              <w:rPr>
                <w:rFonts w:hint="eastAsia"/>
                <w:sz w:val="24"/>
                <w:szCs w:val="18"/>
              </w:rPr>
              <w:t>Residual=Actual-Estimated；</w:t>
            </w:r>
          </w:p>
          <w:p w14:paraId="65B43A3B">
            <w:pPr>
              <w:pStyle w:val="11"/>
              <w:ind w:firstLine="0"/>
              <w:rPr>
                <w:sz w:val="24"/>
                <w:szCs w:val="18"/>
              </w:rPr>
            </w:pPr>
            <w:r>
              <w:rPr>
                <w:rFonts w:hint="eastAsia"/>
                <w:sz w:val="24"/>
                <w:szCs w:val="18"/>
              </w:rPr>
              <w:t>以当前测点残差在内的前6个残差为计算样本，去除最高值、最低值后，计算余下的4个残差的平均值作为Smooth Residual的输出值</w:t>
            </w:r>
          </w:p>
        </w:tc>
      </w:tr>
    </w:tbl>
    <w:p w14:paraId="0751BB4A">
      <w:pPr>
        <w:pStyle w:val="11"/>
        <w:ind w:firstLine="560" w:firstLineChars="200"/>
      </w:pPr>
      <w:r>
        <w:rPr>
          <w:rFonts w:hint="eastAsia"/>
        </w:rPr>
        <w:t>残差高 (H)</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19B975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tcPr>
          <w:p w14:paraId="658AC904">
            <w:pPr>
              <w:pStyle w:val="11"/>
              <w:ind w:firstLine="0"/>
              <w:jc w:val="center"/>
            </w:pPr>
            <w:r>
              <w:rPr>
                <w:rFonts w:hint="eastAsia"/>
              </w:rPr>
              <w:t>名称</w:t>
            </w:r>
          </w:p>
        </w:tc>
        <w:tc>
          <w:tcPr>
            <w:tcW w:w="4147" w:type="pct"/>
          </w:tcPr>
          <w:p w14:paraId="184E9511">
            <w:pPr>
              <w:pStyle w:val="11"/>
              <w:ind w:firstLine="0"/>
            </w:pPr>
            <w:r>
              <w:rPr>
                <w:rFonts w:hint="eastAsia"/>
              </w:rPr>
              <w:t>残差高</w:t>
            </w:r>
          </w:p>
        </w:tc>
      </w:tr>
      <w:tr w14:paraId="32EDB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tcPr>
          <w:p w14:paraId="7AD434C6">
            <w:pPr>
              <w:pStyle w:val="11"/>
              <w:ind w:firstLine="0"/>
              <w:jc w:val="center"/>
              <w:rPr>
                <w:sz w:val="24"/>
                <w:szCs w:val="18"/>
              </w:rPr>
            </w:pPr>
            <w:r>
              <w:rPr>
                <w:rFonts w:hint="eastAsia"/>
                <w:sz w:val="24"/>
                <w:szCs w:val="18"/>
              </w:rPr>
              <w:t>输入</w:t>
            </w:r>
          </w:p>
        </w:tc>
        <w:tc>
          <w:tcPr>
            <w:tcW w:w="4147" w:type="pct"/>
          </w:tcPr>
          <w:p w14:paraId="39F97AEE">
            <w:pPr>
              <w:pStyle w:val="11"/>
              <w:ind w:firstLine="0"/>
              <w:rPr>
                <w:sz w:val="24"/>
                <w:szCs w:val="18"/>
              </w:rPr>
            </w:pPr>
            <w:r>
              <w:rPr>
                <w:rFonts w:hint="eastAsia"/>
                <w:sz w:val="24"/>
                <w:szCs w:val="18"/>
              </w:rPr>
              <w:t>一个测点一连串的时序数值对应的残差（如：最近18个残差）</w:t>
            </w:r>
          </w:p>
        </w:tc>
      </w:tr>
      <w:tr w14:paraId="4F829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tcPr>
          <w:p w14:paraId="65B6C282">
            <w:pPr>
              <w:pStyle w:val="11"/>
              <w:ind w:firstLine="0"/>
              <w:jc w:val="center"/>
              <w:rPr>
                <w:sz w:val="24"/>
                <w:szCs w:val="18"/>
              </w:rPr>
            </w:pPr>
            <w:r>
              <w:rPr>
                <w:rFonts w:hint="eastAsia"/>
                <w:sz w:val="24"/>
                <w:szCs w:val="18"/>
              </w:rPr>
              <w:t>输出</w:t>
            </w:r>
          </w:p>
        </w:tc>
        <w:tc>
          <w:tcPr>
            <w:tcW w:w="4147" w:type="pct"/>
          </w:tcPr>
          <w:p w14:paraId="2F50F2E2">
            <w:pPr>
              <w:pStyle w:val="11"/>
              <w:ind w:firstLine="0"/>
              <w:rPr>
                <w:sz w:val="24"/>
                <w:szCs w:val="18"/>
              </w:rPr>
            </w:pPr>
            <w:r>
              <w:rPr>
                <w:rFonts w:hint="eastAsia"/>
                <w:sz w:val="24"/>
                <w:szCs w:val="18"/>
              </w:rPr>
              <w:t>True 或 false；High fired for [Source Tag] - [Description] on [Asset]</w:t>
            </w:r>
          </w:p>
        </w:tc>
      </w:tr>
      <w:tr w14:paraId="278F54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 w:hRule="atLeast"/>
        </w:trPr>
        <w:tc>
          <w:tcPr>
            <w:tcW w:w="853" w:type="pct"/>
            <w:vAlign w:val="center"/>
          </w:tcPr>
          <w:p w14:paraId="5F4F65F5">
            <w:pPr>
              <w:pStyle w:val="11"/>
              <w:ind w:firstLine="0"/>
              <w:jc w:val="center"/>
              <w:rPr>
                <w:sz w:val="24"/>
                <w:szCs w:val="18"/>
              </w:rPr>
            </w:pPr>
            <w:r>
              <w:rPr>
                <w:rFonts w:hint="eastAsia"/>
                <w:sz w:val="24"/>
                <w:szCs w:val="18"/>
              </w:rPr>
              <w:t>功能/算法</w:t>
            </w:r>
          </w:p>
        </w:tc>
        <w:tc>
          <w:tcPr>
            <w:tcW w:w="4147" w:type="pct"/>
            <w:vAlign w:val="center"/>
          </w:tcPr>
          <w:p w14:paraId="04074FDC">
            <w:pPr>
              <w:pStyle w:val="11"/>
              <w:ind w:firstLine="0"/>
              <w:rPr>
                <w:sz w:val="24"/>
                <w:szCs w:val="18"/>
              </w:rPr>
            </w:pPr>
            <w:r>
              <w:rPr>
                <w:rFonts w:hint="eastAsia"/>
                <w:sz w:val="24"/>
                <w:szCs w:val="18"/>
              </w:rPr>
              <w:t>(WindowRatio(16, Tag.ResidualIndicationPositive(18),"=",1,9)) And (Tag.Residual&gt;= Tag.ResidualPositiveThreshold)；</w:t>
            </w:r>
          </w:p>
        </w:tc>
      </w:tr>
      <w:tr w14:paraId="143C4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tcPr>
          <w:p w14:paraId="40BB1106">
            <w:pPr>
              <w:pStyle w:val="11"/>
              <w:ind w:firstLine="0"/>
              <w:jc w:val="center"/>
              <w:rPr>
                <w:sz w:val="24"/>
                <w:szCs w:val="18"/>
              </w:rPr>
            </w:pPr>
            <w:r>
              <w:rPr>
                <w:rFonts w:hint="eastAsia"/>
                <w:sz w:val="24"/>
                <w:szCs w:val="18"/>
              </w:rPr>
              <w:t>备注</w:t>
            </w:r>
          </w:p>
        </w:tc>
        <w:tc>
          <w:tcPr>
            <w:tcW w:w="4147" w:type="pct"/>
          </w:tcPr>
          <w:p w14:paraId="6388DABC">
            <w:pPr>
              <w:pStyle w:val="11"/>
              <w:ind w:firstLine="0"/>
              <w:rPr>
                <w:sz w:val="24"/>
                <w:szCs w:val="18"/>
              </w:rPr>
            </w:pPr>
            <w:r>
              <w:rPr>
                <w:rFonts w:hint="eastAsia"/>
                <w:sz w:val="24"/>
                <w:szCs w:val="18"/>
              </w:rPr>
              <w:t>残差=观察值-预测值</w:t>
            </w:r>
          </w:p>
        </w:tc>
      </w:tr>
    </w:tbl>
    <w:p w14:paraId="67F1697A">
      <w:pPr>
        <w:pStyle w:val="11"/>
        <w:ind w:firstLine="560" w:firstLineChars="200"/>
      </w:pPr>
      <w:r>
        <w:rPr>
          <w:rFonts w:hint="eastAsia"/>
        </w:rPr>
        <w:t>残差低 (L)</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6E1D49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3" w:type="pct"/>
            <w:vAlign w:val="center"/>
          </w:tcPr>
          <w:p w14:paraId="33685339">
            <w:pPr>
              <w:pStyle w:val="11"/>
              <w:ind w:firstLine="0"/>
              <w:jc w:val="center"/>
            </w:pPr>
            <w:r>
              <w:rPr>
                <w:rFonts w:hint="eastAsia"/>
              </w:rPr>
              <w:t>名称</w:t>
            </w:r>
          </w:p>
        </w:tc>
        <w:tc>
          <w:tcPr>
            <w:tcW w:w="4147" w:type="pct"/>
          </w:tcPr>
          <w:p w14:paraId="444D8CBF">
            <w:pPr>
              <w:pStyle w:val="11"/>
              <w:ind w:firstLine="0"/>
              <w:jc w:val="center"/>
            </w:pPr>
            <w:r>
              <w:rPr>
                <w:rFonts w:hint="eastAsia"/>
              </w:rPr>
              <w:t>残差低</w:t>
            </w:r>
          </w:p>
        </w:tc>
      </w:tr>
      <w:tr w14:paraId="5858E5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7498180B">
            <w:pPr>
              <w:pStyle w:val="11"/>
              <w:ind w:firstLine="0"/>
              <w:jc w:val="center"/>
              <w:rPr>
                <w:sz w:val="24"/>
                <w:szCs w:val="18"/>
              </w:rPr>
            </w:pPr>
            <w:r>
              <w:rPr>
                <w:rFonts w:hint="eastAsia"/>
                <w:sz w:val="24"/>
                <w:szCs w:val="18"/>
              </w:rPr>
              <w:t>输入</w:t>
            </w:r>
          </w:p>
        </w:tc>
        <w:tc>
          <w:tcPr>
            <w:tcW w:w="4147" w:type="pct"/>
          </w:tcPr>
          <w:p w14:paraId="09DF58A8">
            <w:pPr>
              <w:pStyle w:val="11"/>
              <w:ind w:firstLine="0"/>
              <w:rPr>
                <w:sz w:val="24"/>
                <w:szCs w:val="18"/>
              </w:rPr>
            </w:pPr>
            <w:r>
              <w:rPr>
                <w:rFonts w:hint="eastAsia"/>
                <w:sz w:val="24"/>
                <w:szCs w:val="18"/>
              </w:rPr>
              <w:t>一个测点一连串的时序数值对应的残差（如：最近18个残差）</w:t>
            </w:r>
          </w:p>
        </w:tc>
      </w:tr>
      <w:tr w14:paraId="4F44C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65766DE0">
            <w:pPr>
              <w:pStyle w:val="11"/>
              <w:ind w:firstLine="0"/>
              <w:jc w:val="center"/>
              <w:rPr>
                <w:sz w:val="24"/>
                <w:szCs w:val="18"/>
              </w:rPr>
            </w:pPr>
            <w:r>
              <w:rPr>
                <w:rFonts w:hint="eastAsia"/>
                <w:sz w:val="24"/>
                <w:szCs w:val="18"/>
              </w:rPr>
              <w:t>输出</w:t>
            </w:r>
          </w:p>
        </w:tc>
        <w:tc>
          <w:tcPr>
            <w:tcW w:w="4147" w:type="pct"/>
          </w:tcPr>
          <w:p w14:paraId="0B62257C">
            <w:pPr>
              <w:pStyle w:val="11"/>
              <w:ind w:firstLine="0"/>
              <w:rPr>
                <w:sz w:val="24"/>
                <w:szCs w:val="18"/>
              </w:rPr>
            </w:pPr>
            <w:r>
              <w:rPr>
                <w:rFonts w:hint="eastAsia"/>
                <w:sz w:val="24"/>
                <w:szCs w:val="18"/>
              </w:rPr>
              <w:t>True 或 false；Low fired for [Source Tag] - [Description] on [Asset]</w:t>
            </w:r>
          </w:p>
        </w:tc>
      </w:tr>
      <w:tr w14:paraId="24616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 w:hRule="atLeast"/>
        </w:trPr>
        <w:tc>
          <w:tcPr>
            <w:tcW w:w="853" w:type="pct"/>
            <w:vAlign w:val="center"/>
          </w:tcPr>
          <w:p w14:paraId="1D0F1E84">
            <w:pPr>
              <w:pStyle w:val="11"/>
              <w:ind w:firstLine="0"/>
              <w:jc w:val="center"/>
              <w:rPr>
                <w:sz w:val="24"/>
                <w:szCs w:val="18"/>
              </w:rPr>
            </w:pPr>
            <w:r>
              <w:rPr>
                <w:rFonts w:hint="eastAsia"/>
                <w:sz w:val="24"/>
                <w:szCs w:val="18"/>
              </w:rPr>
              <w:t>功能/算法</w:t>
            </w:r>
          </w:p>
        </w:tc>
        <w:tc>
          <w:tcPr>
            <w:tcW w:w="4147" w:type="pct"/>
            <w:vAlign w:val="center"/>
          </w:tcPr>
          <w:p w14:paraId="681262B3">
            <w:pPr>
              <w:pStyle w:val="11"/>
              <w:ind w:firstLine="0"/>
              <w:rPr>
                <w:sz w:val="24"/>
                <w:szCs w:val="18"/>
              </w:rPr>
            </w:pPr>
            <w:r>
              <w:rPr>
                <w:rFonts w:hint="eastAsia"/>
                <w:sz w:val="24"/>
                <w:szCs w:val="18"/>
              </w:rPr>
              <w:t>(WindowRatio(16, Tag.ResidualIndicationNegative(18),"=",1,9)) And (Tag.Residual&gt;= Tag.ResidualPositiveThreshold)；</w:t>
            </w:r>
          </w:p>
        </w:tc>
      </w:tr>
      <w:tr w14:paraId="21F76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47F04A62">
            <w:pPr>
              <w:pStyle w:val="11"/>
              <w:ind w:firstLine="0"/>
              <w:jc w:val="center"/>
              <w:rPr>
                <w:sz w:val="24"/>
                <w:szCs w:val="18"/>
              </w:rPr>
            </w:pPr>
            <w:r>
              <w:rPr>
                <w:rFonts w:hint="eastAsia"/>
                <w:sz w:val="24"/>
                <w:szCs w:val="18"/>
              </w:rPr>
              <w:t>备注</w:t>
            </w:r>
          </w:p>
        </w:tc>
        <w:tc>
          <w:tcPr>
            <w:tcW w:w="4147" w:type="pct"/>
          </w:tcPr>
          <w:p w14:paraId="68626632">
            <w:pPr>
              <w:pStyle w:val="11"/>
              <w:ind w:firstLine="0"/>
              <w:rPr>
                <w:sz w:val="24"/>
                <w:szCs w:val="18"/>
              </w:rPr>
            </w:pPr>
            <w:r>
              <w:rPr>
                <w:rFonts w:hint="eastAsia"/>
                <w:sz w:val="24"/>
                <w:szCs w:val="18"/>
              </w:rPr>
              <w:t>残差=观察值-预测值</w:t>
            </w:r>
          </w:p>
        </w:tc>
      </w:tr>
    </w:tbl>
    <w:p w14:paraId="374EAE9D">
      <w:pPr>
        <w:pStyle w:val="11"/>
        <w:ind w:firstLine="560" w:firstLineChars="200"/>
      </w:pPr>
      <w:r>
        <w:rPr>
          <w:rFonts w:hint="eastAsia"/>
        </w:rPr>
        <w:t xml:space="preserve">向上阶跃 (Step High) </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0AC3CB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608D991F">
            <w:pPr>
              <w:pStyle w:val="11"/>
              <w:ind w:firstLine="0"/>
              <w:jc w:val="center"/>
            </w:pPr>
            <w:r>
              <w:rPr>
                <w:rFonts w:hint="eastAsia"/>
              </w:rPr>
              <w:t>名称</w:t>
            </w:r>
          </w:p>
        </w:tc>
        <w:tc>
          <w:tcPr>
            <w:tcW w:w="4147" w:type="pct"/>
          </w:tcPr>
          <w:p w14:paraId="33381D2B">
            <w:pPr>
              <w:pStyle w:val="11"/>
              <w:ind w:firstLine="0"/>
              <w:jc w:val="center"/>
            </w:pPr>
            <w:r>
              <w:rPr>
                <w:rFonts w:hint="eastAsia"/>
              </w:rPr>
              <w:t>Step High</w:t>
            </w:r>
          </w:p>
        </w:tc>
      </w:tr>
      <w:tr w14:paraId="730B4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14619410">
            <w:pPr>
              <w:pStyle w:val="11"/>
              <w:ind w:firstLine="0"/>
              <w:jc w:val="center"/>
              <w:rPr>
                <w:sz w:val="24"/>
                <w:szCs w:val="18"/>
              </w:rPr>
            </w:pPr>
            <w:r>
              <w:rPr>
                <w:rFonts w:hint="eastAsia"/>
                <w:sz w:val="24"/>
                <w:szCs w:val="18"/>
              </w:rPr>
              <w:t>输入</w:t>
            </w:r>
          </w:p>
        </w:tc>
        <w:tc>
          <w:tcPr>
            <w:tcW w:w="4147" w:type="pct"/>
          </w:tcPr>
          <w:p w14:paraId="7E79D8A4">
            <w:pPr>
              <w:pStyle w:val="11"/>
              <w:ind w:firstLine="0"/>
              <w:rPr>
                <w:sz w:val="24"/>
                <w:szCs w:val="18"/>
              </w:rPr>
            </w:pPr>
            <w:r>
              <w:rPr>
                <w:rFonts w:hint="eastAsia"/>
                <w:sz w:val="24"/>
                <w:szCs w:val="18"/>
              </w:rPr>
              <w:t>一个测点一连串（默认7个）的时序数值及对应的残差；正向偏差；负向偏差；</w:t>
            </w:r>
          </w:p>
          <w:p w14:paraId="2378F993">
            <w:pPr>
              <w:pStyle w:val="11"/>
              <w:ind w:firstLine="0"/>
              <w:rPr>
                <w:sz w:val="24"/>
                <w:szCs w:val="18"/>
              </w:rPr>
            </w:pPr>
            <w:r>
              <w:rPr>
                <w:rFonts w:hint="eastAsia"/>
                <w:sz w:val="24"/>
                <w:szCs w:val="18"/>
              </w:rPr>
              <w:t>A set of tag history containing at least 4 observations E.g. Tag.Actual(7)</w:t>
            </w:r>
          </w:p>
        </w:tc>
      </w:tr>
      <w:tr w14:paraId="1C3DB6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12F2F17A">
            <w:pPr>
              <w:pStyle w:val="11"/>
              <w:ind w:firstLine="0"/>
              <w:jc w:val="center"/>
              <w:rPr>
                <w:sz w:val="24"/>
                <w:szCs w:val="18"/>
              </w:rPr>
            </w:pPr>
            <w:r>
              <w:rPr>
                <w:rFonts w:hint="eastAsia"/>
                <w:sz w:val="24"/>
                <w:szCs w:val="18"/>
              </w:rPr>
              <w:t>输出</w:t>
            </w:r>
          </w:p>
        </w:tc>
        <w:tc>
          <w:tcPr>
            <w:tcW w:w="4147" w:type="pct"/>
          </w:tcPr>
          <w:p w14:paraId="0D269563">
            <w:pPr>
              <w:pStyle w:val="11"/>
              <w:ind w:firstLine="0"/>
              <w:rPr>
                <w:sz w:val="24"/>
                <w:szCs w:val="18"/>
              </w:rPr>
            </w:pPr>
            <w:r>
              <w:rPr>
                <w:rFonts w:hint="eastAsia"/>
                <w:sz w:val="24"/>
                <w:szCs w:val="18"/>
              </w:rPr>
              <w:t>True 或 false；High fired for [Source Tag] - [Description] on [Asset]</w:t>
            </w:r>
          </w:p>
        </w:tc>
      </w:tr>
      <w:tr w14:paraId="2B563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5" w:hRule="atLeast"/>
        </w:trPr>
        <w:tc>
          <w:tcPr>
            <w:tcW w:w="853" w:type="pct"/>
            <w:vAlign w:val="center"/>
          </w:tcPr>
          <w:p w14:paraId="067E0EAE">
            <w:pPr>
              <w:pStyle w:val="11"/>
              <w:ind w:firstLine="0"/>
              <w:jc w:val="center"/>
              <w:rPr>
                <w:sz w:val="24"/>
                <w:szCs w:val="18"/>
              </w:rPr>
            </w:pPr>
            <w:r>
              <w:rPr>
                <w:rFonts w:hint="eastAsia"/>
                <w:sz w:val="24"/>
                <w:szCs w:val="18"/>
              </w:rPr>
              <w:t>功能/算法</w:t>
            </w:r>
          </w:p>
        </w:tc>
        <w:tc>
          <w:tcPr>
            <w:tcW w:w="4147" w:type="pct"/>
            <w:vAlign w:val="center"/>
          </w:tcPr>
          <w:p w14:paraId="2D05E9A7">
            <w:pPr>
              <w:pStyle w:val="11"/>
              <w:ind w:firstLine="0"/>
              <w:rPr>
                <w:sz w:val="24"/>
                <w:szCs w:val="18"/>
              </w:rPr>
            </w:pPr>
            <w:r>
              <w:rPr>
                <w:rFonts w:hint="eastAsia"/>
                <w:sz w:val="24"/>
                <w:szCs w:val="18"/>
              </w:rPr>
              <w:t>如果提供的数值发生向上阶跃变化，则此函数返回true。</w:t>
            </w:r>
          </w:p>
          <w:p w14:paraId="56E1673C">
            <w:pPr>
              <w:pStyle w:val="11"/>
              <w:ind w:firstLine="0"/>
              <w:rPr>
                <w:sz w:val="24"/>
                <w:szCs w:val="18"/>
              </w:rPr>
            </w:pPr>
            <w:r>
              <w:rPr>
                <w:rFonts w:hint="eastAsia"/>
                <w:sz w:val="24"/>
                <w:szCs w:val="18"/>
              </w:rPr>
              <w:t>将对提供的数值（不包括最近的观测值）进行奥林匹克平滑处理，以获得最近观测值之前的平均值。将最近的两个观测值与评估差异的平均值进行比较。</w:t>
            </w:r>
          </w:p>
          <w:p w14:paraId="20425226">
            <w:pPr>
              <w:pStyle w:val="11"/>
              <w:ind w:firstLine="0"/>
              <w:rPr>
                <w:sz w:val="24"/>
                <w:szCs w:val="18"/>
              </w:rPr>
            </w:pPr>
            <w:r>
              <w:rPr>
                <w:rFonts w:hint="eastAsia"/>
                <w:sz w:val="24"/>
                <w:szCs w:val="18"/>
              </w:rPr>
              <w:t>当观测值偏差（当前观测值-当前观测值之前的平均值）大于2.5倍正向偏差（2.5* Tag.ResidualPositiveThreshold）且当前残差（观察值-预测值）须大于1.5倍正向偏差（1.5* Tag.ResidualPositiveThreshold），函数返回true，报警信息：“Step High fired for [Source Tag] - [Description] on [Asset]”</w:t>
            </w:r>
          </w:p>
        </w:tc>
      </w:tr>
      <w:tr w14:paraId="692A7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2699D539">
            <w:pPr>
              <w:pStyle w:val="11"/>
              <w:ind w:firstLine="0"/>
              <w:jc w:val="center"/>
              <w:rPr>
                <w:sz w:val="24"/>
                <w:szCs w:val="18"/>
              </w:rPr>
            </w:pPr>
            <w:r>
              <w:rPr>
                <w:rFonts w:hint="eastAsia"/>
                <w:sz w:val="24"/>
                <w:szCs w:val="18"/>
              </w:rPr>
              <w:t>备注</w:t>
            </w:r>
          </w:p>
        </w:tc>
        <w:tc>
          <w:tcPr>
            <w:tcW w:w="4147" w:type="pct"/>
          </w:tcPr>
          <w:p w14:paraId="7695BAC1">
            <w:pPr>
              <w:pStyle w:val="11"/>
              <w:ind w:firstLine="0"/>
              <w:rPr>
                <w:sz w:val="24"/>
                <w:szCs w:val="18"/>
              </w:rPr>
            </w:pPr>
            <w:r>
              <w:rPr>
                <w:rFonts w:hint="eastAsia"/>
                <w:sz w:val="24"/>
                <w:szCs w:val="18"/>
              </w:rPr>
              <w:t>value – averageValue &gt; |stepUpThreshold|</w:t>
            </w:r>
          </w:p>
        </w:tc>
      </w:tr>
    </w:tbl>
    <w:p w14:paraId="30EC19E1">
      <w:pPr>
        <w:pStyle w:val="11"/>
        <w:ind w:firstLine="560" w:firstLineChars="200"/>
      </w:pPr>
      <w:r>
        <w:rPr>
          <w:rFonts w:hint="eastAsia"/>
        </w:rPr>
        <w:t>向下阶跃 (Step Low)</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7446A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6CA998A3">
            <w:pPr>
              <w:pStyle w:val="11"/>
              <w:ind w:firstLine="0"/>
              <w:jc w:val="center"/>
            </w:pPr>
            <w:r>
              <w:rPr>
                <w:rFonts w:hint="eastAsia"/>
              </w:rPr>
              <w:t>名称</w:t>
            </w:r>
          </w:p>
        </w:tc>
        <w:tc>
          <w:tcPr>
            <w:tcW w:w="4147" w:type="pct"/>
            <w:vAlign w:val="center"/>
          </w:tcPr>
          <w:p w14:paraId="4151A57E">
            <w:pPr>
              <w:pStyle w:val="11"/>
              <w:ind w:firstLine="0"/>
              <w:jc w:val="center"/>
            </w:pPr>
            <w:r>
              <w:rPr>
                <w:rFonts w:hint="eastAsia"/>
              </w:rPr>
              <w:t>Step Low</w:t>
            </w:r>
          </w:p>
        </w:tc>
      </w:tr>
      <w:tr w14:paraId="0A19C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562AD6C6">
            <w:pPr>
              <w:pStyle w:val="11"/>
              <w:ind w:firstLine="0"/>
              <w:jc w:val="center"/>
              <w:rPr>
                <w:sz w:val="24"/>
                <w:szCs w:val="18"/>
              </w:rPr>
            </w:pPr>
            <w:r>
              <w:rPr>
                <w:rFonts w:hint="eastAsia"/>
                <w:sz w:val="24"/>
                <w:szCs w:val="18"/>
              </w:rPr>
              <w:t>输入</w:t>
            </w:r>
          </w:p>
        </w:tc>
        <w:tc>
          <w:tcPr>
            <w:tcW w:w="4147" w:type="pct"/>
          </w:tcPr>
          <w:p w14:paraId="447E5F0B">
            <w:pPr>
              <w:pStyle w:val="11"/>
              <w:ind w:firstLine="0"/>
              <w:rPr>
                <w:sz w:val="24"/>
                <w:szCs w:val="18"/>
              </w:rPr>
            </w:pPr>
            <w:r>
              <w:rPr>
                <w:rFonts w:hint="eastAsia"/>
                <w:sz w:val="24"/>
                <w:szCs w:val="18"/>
              </w:rPr>
              <w:t>一个测点一连串（默认7个）的时序数值及对应的残差；正向偏差；负向偏差；</w:t>
            </w:r>
          </w:p>
          <w:p w14:paraId="3F10FF2A">
            <w:pPr>
              <w:pStyle w:val="11"/>
              <w:ind w:firstLine="0"/>
              <w:rPr>
                <w:sz w:val="24"/>
                <w:szCs w:val="18"/>
              </w:rPr>
            </w:pPr>
            <w:r>
              <w:rPr>
                <w:rFonts w:hint="eastAsia"/>
                <w:sz w:val="24"/>
                <w:szCs w:val="18"/>
              </w:rPr>
              <w:t>A set of tag history containing at least 4 observations E.g. Tag.Actual(7)</w:t>
            </w:r>
          </w:p>
        </w:tc>
      </w:tr>
      <w:tr w14:paraId="065280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19778042">
            <w:pPr>
              <w:pStyle w:val="11"/>
              <w:ind w:firstLine="0"/>
              <w:jc w:val="center"/>
              <w:rPr>
                <w:sz w:val="24"/>
                <w:szCs w:val="18"/>
              </w:rPr>
            </w:pPr>
            <w:r>
              <w:rPr>
                <w:rFonts w:hint="eastAsia"/>
                <w:sz w:val="24"/>
                <w:szCs w:val="18"/>
              </w:rPr>
              <w:t>输出</w:t>
            </w:r>
          </w:p>
        </w:tc>
        <w:tc>
          <w:tcPr>
            <w:tcW w:w="4147" w:type="pct"/>
          </w:tcPr>
          <w:p w14:paraId="18801FD9">
            <w:pPr>
              <w:pStyle w:val="11"/>
              <w:ind w:firstLine="0"/>
              <w:rPr>
                <w:sz w:val="24"/>
                <w:szCs w:val="18"/>
              </w:rPr>
            </w:pPr>
            <w:r>
              <w:rPr>
                <w:rFonts w:hint="eastAsia"/>
                <w:sz w:val="24"/>
                <w:szCs w:val="18"/>
              </w:rPr>
              <w:t>true 或 false；Low fired for [Source Tag] - [Description] on [Asset]</w:t>
            </w:r>
          </w:p>
        </w:tc>
      </w:tr>
      <w:tr w14:paraId="1BBBA3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5" w:hRule="atLeast"/>
        </w:trPr>
        <w:tc>
          <w:tcPr>
            <w:tcW w:w="853" w:type="pct"/>
            <w:vAlign w:val="center"/>
          </w:tcPr>
          <w:p w14:paraId="2611EEB5">
            <w:pPr>
              <w:pStyle w:val="11"/>
              <w:ind w:firstLine="0"/>
              <w:jc w:val="center"/>
              <w:rPr>
                <w:sz w:val="24"/>
                <w:szCs w:val="18"/>
              </w:rPr>
            </w:pPr>
            <w:r>
              <w:rPr>
                <w:rFonts w:hint="eastAsia"/>
                <w:sz w:val="24"/>
                <w:szCs w:val="18"/>
              </w:rPr>
              <w:t>功能/算法</w:t>
            </w:r>
          </w:p>
        </w:tc>
        <w:tc>
          <w:tcPr>
            <w:tcW w:w="4147" w:type="pct"/>
            <w:vAlign w:val="center"/>
          </w:tcPr>
          <w:p w14:paraId="18FF6794">
            <w:pPr>
              <w:pStyle w:val="11"/>
              <w:ind w:firstLine="0"/>
              <w:rPr>
                <w:sz w:val="24"/>
                <w:szCs w:val="18"/>
              </w:rPr>
            </w:pPr>
            <w:r>
              <w:rPr>
                <w:rFonts w:hint="eastAsia"/>
                <w:sz w:val="24"/>
                <w:szCs w:val="18"/>
              </w:rPr>
              <w:t>如果提供的数值发</w:t>
            </w:r>
            <w:r>
              <w:rPr>
                <w:rFonts w:hint="eastAsia"/>
                <w:sz w:val="24"/>
                <w:szCs w:val="18"/>
                <w:highlight w:val="none"/>
              </w:rPr>
              <w:t>生向下阶跃变化</w:t>
            </w:r>
            <w:r>
              <w:rPr>
                <w:rFonts w:hint="eastAsia"/>
                <w:sz w:val="24"/>
                <w:szCs w:val="18"/>
              </w:rPr>
              <w:t>，则此函数返回true。</w:t>
            </w:r>
          </w:p>
          <w:p w14:paraId="193559BB">
            <w:pPr>
              <w:pStyle w:val="11"/>
              <w:ind w:firstLine="0"/>
              <w:rPr>
                <w:sz w:val="24"/>
                <w:szCs w:val="18"/>
              </w:rPr>
            </w:pPr>
            <w:r>
              <w:rPr>
                <w:rFonts w:hint="eastAsia"/>
                <w:sz w:val="24"/>
                <w:szCs w:val="18"/>
              </w:rPr>
              <w:t>将对提供的数值（不包括最近的观测值）进行奥林匹克平滑处理，以获得最近观测值之前的平均值。将最近的两个观测值与评估差异的平均值进行比较。</w:t>
            </w:r>
          </w:p>
          <w:p w14:paraId="2EC020EB">
            <w:pPr>
              <w:pStyle w:val="11"/>
              <w:ind w:firstLine="0"/>
              <w:rPr>
                <w:sz w:val="24"/>
                <w:szCs w:val="18"/>
              </w:rPr>
            </w:pPr>
            <w:r>
              <w:rPr>
                <w:rFonts w:hint="eastAsia"/>
                <w:sz w:val="24"/>
                <w:szCs w:val="18"/>
              </w:rPr>
              <w:t>当观测值偏差（当前观测值-当前观测值之前的平均值）小于2.5倍负向偏差（2.5* Tag.ResidualNegativeThreshold）且当前残差（观察值-预测值）须小于1.5倍负向偏差（1.5* Tag.ResidualNegativeThreshold），函数返回true，报警信息：“Step Low fired for [Source Tag] - [Description] on [Asset]”</w:t>
            </w:r>
          </w:p>
        </w:tc>
      </w:tr>
      <w:tr w14:paraId="4FBC1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088A8D50">
            <w:pPr>
              <w:pStyle w:val="11"/>
              <w:ind w:firstLine="0"/>
              <w:jc w:val="center"/>
              <w:rPr>
                <w:sz w:val="24"/>
                <w:szCs w:val="18"/>
              </w:rPr>
            </w:pPr>
            <w:r>
              <w:rPr>
                <w:rFonts w:hint="eastAsia"/>
                <w:sz w:val="24"/>
                <w:szCs w:val="18"/>
              </w:rPr>
              <w:t>备注</w:t>
            </w:r>
          </w:p>
        </w:tc>
        <w:tc>
          <w:tcPr>
            <w:tcW w:w="4147" w:type="pct"/>
          </w:tcPr>
          <w:p w14:paraId="465BEDBC">
            <w:pPr>
              <w:pStyle w:val="11"/>
              <w:ind w:firstLine="0"/>
              <w:rPr>
                <w:sz w:val="24"/>
                <w:szCs w:val="18"/>
              </w:rPr>
            </w:pPr>
            <w:r>
              <w:rPr>
                <w:rFonts w:hint="eastAsia"/>
                <w:sz w:val="24"/>
                <w:szCs w:val="18"/>
              </w:rPr>
              <w:t>value – averageValue &lt; -|stepDownThreshold|</w:t>
            </w:r>
          </w:p>
        </w:tc>
      </w:tr>
    </w:tbl>
    <w:p w14:paraId="7EC6F619">
      <w:pPr>
        <w:pStyle w:val="11"/>
        <w:ind w:firstLine="560" w:firstLineChars="200"/>
      </w:pPr>
      <w:r>
        <w:rPr>
          <w:rFonts w:hint="eastAsia"/>
        </w:rPr>
        <w:t>长时间高 (LH)</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1C1F24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31DC26A7">
            <w:pPr>
              <w:pStyle w:val="11"/>
              <w:ind w:firstLine="0"/>
              <w:jc w:val="center"/>
            </w:pPr>
            <w:r>
              <w:rPr>
                <w:rFonts w:hint="eastAsia"/>
              </w:rPr>
              <w:t>名称</w:t>
            </w:r>
          </w:p>
        </w:tc>
        <w:tc>
          <w:tcPr>
            <w:tcW w:w="4146" w:type="pct"/>
            <w:vAlign w:val="center"/>
          </w:tcPr>
          <w:p w14:paraId="65C39B06">
            <w:pPr>
              <w:pStyle w:val="11"/>
              <w:ind w:firstLine="0"/>
              <w:jc w:val="center"/>
            </w:pPr>
            <w:r>
              <w:rPr>
                <w:rFonts w:hint="eastAsia"/>
              </w:rPr>
              <w:t>残差长时间高</w:t>
            </w:r>
          </w:p>
        </w:tc>
      </w:tr>
      <w:tr w14:paraId="76315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71C8FF5E">
            <w:pPr>
              <w:pStyle w:val="11"/>
              <w:ind w:firstLine="0"/>
              <w:jc w:val="center"/>
              <w:rPr>
                <w:sz w:val="24"/>
                <w:szCs w:val="18"/>
              </w:rPr>
            </w:pPr>
            <w:r>
              <w:rPr>
                <w:rFonts w:hint="eastAsia"/>
                <w:sz w:val="24"/>
                <w:szCs w:val="18"/>
              </w:rPr>
              <w:t>输入</w:t>
            </w:r>
          </w:p>
        </w:tc>
        <w:tc>
          <w:tcPr>
            <w:tcW w:w="4146" w:type="pct"/>
          </w:tcPr>
          <w:p w14:paraId="46F9BF6B">
            <w:pPr>
              <w:pStyle w:val="11"/>
              <w:ind w:firstLine="0"/>
              <w:rPr>
                <w:sz w:val="24"/>
                <w:szCs w:val="18"/>
              </w:rPr>
            </w:pPr>
            <w:r>
              <w:rPr>
                <w:rFonts w:hint="eastAsia"/>
                <w:sz w:val="24"/>
                <w:szCs w:val="18"/>
              </w:rPr>
              <w:t>一个测点一连串的时序数值及对应的残差；正向偏差；最近60个残差，</w:t>
            </w:r>
          </w:p>
        </w:tc>
      </w:tr>
      <w:tr w14:paraId="6CF1B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5E2C07AE">
            <w:pPr>
              <w:pStyle w:val="11"/>
              <w:ind w:firstLine="0"/>
              <w:jc w:val="center"/>
              <w:rPr>
                <w:sz w:val="24"/>
                <w:szCs w:val="18"/>
              </w:rPr>
            </w:pPr>
            <w:r>
              <w:rPr>
                <w:rFonts w:hint="eastAsia"/>
                <w:sz w:val="24"/>
                <w:szCs w:val="18"/>
              </w:rPr>
              <w:t>输出</w:t>
            </w:r>
          </w:p>
        </w:tc>
        <w:tc>
          <w:tcPr>
            <w:tcW w:w="4146" w:type="pct"/>
          </w:tcPr>
          <w:p w14:paraId="5A2F8AEE">
            <w:pPr>
              <w:pStyle w:val="11"/>
              <w:ind w:firstLine="0"/>
              <w:rPr>
                <w:sz w:val="24"/>
                <w:szCs w:val="18"/>
              </w:rPr>
            </w:pPr>
            <w:r>
              <w:rPr>
                <w:rFonts w:hint="eastAsia"/>
                <w:sz w:val="24"/>
                <w:szCs w:val="18"/>
              </w:rPr>
              <w:t>true 或 false；Low fired for [Source Tag] - [Description] on [Asset]</w:t>
            </w:r>
          </w:p>
        </w:tc>
      </w:tr>
      <w:tr w14:paraId="503DE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6" w:hRule="atLeast"/>
        </w:trPr>
        <w:tc>
          <w:tcPr>
            <w:tcW w:w="853" w:type="pct"/>
            <w:vAlign w:val="center"/>
          </w:tcPr>
          <w:p w14:paraId="10BEA488">
            <w:pPr>
              <w:pStyle w:val="11"/>
              <w:ind w:firstLine="0"/>
              <w:jc w:val="center"/>
              <w:rPr>
                <w:sz w:val="24"/>
                <w:szCs w:val="18"/>
              </w:rPr>
            </w:pPr>
            <w:r>
              <w:rPr>
                <w:rFonts w:hint="eastAsia"/>
                <w:sz w:val="24"/>
                <w:szCs w:val="18"/>
              </w:rPr>
              <w:t>功能/算法</w:t>
            </w:r>
          </w:p>
        </w:tc>
        <w:tc>
          <w:tcPr>
            <w:tcW w:w="4146" w:type="pct"/>
            <w:vAlign w:val="center"/>
          </w:tcPr>
          <w:p w14:paraId="7CBAAF06">
            <w:pPr>
              <w:pStyle w:val="11"/>
              <w:ind w:firstLine="0"/>
              <w:rPr>
                <w:sz w:val="24"/>
                <w:szCs w:val="18"/>
              </w:rPr>
            </w:pPr>
            <w:r>
              <w:rPr>
                <w:rFonts w:hint="eastAsia"/>
                <w:sz w:val="24"/>
                <w:szCs w:val="18"/>
              </w:rPr>
              <w:t>一个测点一连串的时序数值对应的残差，当最近60个测点的残差有55个满足要求，且当前残差（观察值-预测值）须大于1倍正向偏差（1* Tag.ResidualPositiveThreshold），函数返回true，报警信息：“Long High fired for [Source Tag] - [Description] on [Asset]”</w:t>
            </w:r>
          </w:p>
          <w:p w14:paraId="20D96D2C">
            <w:pPr>
              <w:pStyle w:val="11"/>
              <w:ind w:firstLine="0"/>
              <w:rPr>
                <w:sz w:val="24"/>
                <w:szCs w:val="18"/>
              </w:rPr>
            </w:pPr>
          </w:p>
        </w:tc>
      </w:tr>
    </w:tbl>
    <w:p w14:paraId="727AC8A3">
      <w:pPr>
        <w:pStyle w:val="11"/>
      </w:pPr>
      <w:r>
        <w:rPr>
          <w:rFonts w:hint="eastAsia"/>
        </w:rPr>
        <w:t>长时间低 (LL)</w:t>
      </w:r>
    </w:p>
    <w:tbl>
      <w:tblPr>
        <w:tblStyle w:val="15"/>
        <w:tblW w:w="499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7787"/>
      </w:tblGrid>
      <w:tr w14:paraId="45579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6B701976">
            <w:pPr>
              <w:pStyle w:val="11"/>
              <w:ind w:firstLine="0"/>
              <w:jc w:val="center"/>
            </w:pPr>
            <w:r>
              <w:rPr>
                <w:rFonts w:hint="eastAsia"/>
              </w:rPr>
              <w:t>名称</w:t>
            </w:r>
          </w:p>
        </w:tc>
        <w:tc>
          <w:tcPr>
            <w:tcW w:w="4146" w:type="pct"/>
            <w:vAlign w:val="center"/>
          </w:tcPr>
          <w:p w14:paraId="468DB4A2">
            <w:pPr>
              <w:pStyle w:val="11"/>
              <w:ind w:firstLine="0"/>
              <w:jc w:val="center"/>
            </w:pPr>
            <w:r>
              <w:rPr>
                <w:rFonts w:hint="eastAsia"/>
              </w:rPr>
              <w:t>残差长时间低</w:t>
            </w:r>
          </w:p>
        </w:tc>
      </w:tr>
      <w:tr w14:paraId="2D13A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4BAC7366">
            <w:pPr>
              <w:pStyle w:val="11"/>
              <w:ind w:firstLine="0"/>
              <w:jc w:val="center"/>
              <w:rPr>
                <w:sz w:val="24"/>
                <w:szCs w:val="18"/>
              </w:rPr>
            </w:pPr>
            <w:r>
              <w:rPr>
                <w:rFonts w:hint="eastAsia"/>
                <w:sz w:val="24"/>
                <w:szCs w:val="18"/>
              </w:rPr>
              <w:t>输入</w:t>
            </w:r>
          </w:p>
        </w:tc>
        <w:tc>
          <w:tcPr>
            <w:tcW w:w="4146" w:type="pct"/>
            <w:vAlign w:val="center"/>
          </w:tcPr>
          <w:p w14:paraId="31D40013">
            <w:pPr>
              <w:pStyle w:val="11"/>
              <w:ind w:firstLine="0"/>
              <w:rPr>
                <w:sz w:val="24"/>
                <w:szCs w:val="18"/>
              </w:rPr>
            </w:pPr>
            <w:r>
              <w:rPr>
                <w:rFonts w:hint="eastAsia"/>
                <w:sz w:val="24"/>
                <w:szCs w:val="18"/>
              </w:rPr>
              <w:t>一个测点一连串的时序数值及对应的残差；负向偏差；最近60个残差，</w:t>
            </w:r>
          </w:p>
        </w:tc>
      </w:tr>
      <w:tr w14:paraId="628A6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 w:type="pct"/>
            <w:vAlign w:val="center"/>
          </w:tcPr>
          <w:p w14:paraId="652AB24F">
            <w:pPr>
              <w:pStyle w:val="11"/>
              <w:ind w:firstLine="0"/>
              <w:jc w:val="center"/>
              <w:rPr>
                <w:sz w:val="24"/>
                <w:szCs w:val="18"/>
              </w:rPr>
            </w:pPr>
            <w:r>
              <w:rPr>
                <w:rFonts w:hint="eastAsia"/>
                <w:sz w:val="24"/>
                <w:szCs w:val="18"/>
              </w:rPr>
              <w:t>输出</w:t>
            </w:r>
          </w:p>
        </w:tc>
        <w:tc>
          <w:tcPr>
            <w:tcW w:w="4146" w:type="pct"/>
            <w:vAlign w:val="center"/>
          </w:tcPr>
          <w:p w14:paraId="32077118">
            <w:pPr>
              <w:pStyle w:val="11"/>
              <w:ind w:firstLine="0"/>
              <w:rPr>
                <w:sz w:val="24"/>
                <w:szCs w:val="18"/>
              </w:rPr>
            </w:pPr>
            <w:r>
              <w:rPr>
                <w:rFonts w:hint="eastAsia"/>
                <w:sz w:val="24"/>
                <w:szCs w:val="18"/>
              </w:rPr>
              <w:t>true 或 false；Low fired for [Source Tag] - [Description] on [Asset]</w:t>
            </w:r>
          </w:p>
        </w:tc>
      </w:tr>
      <w:tr w14:paraId="3F1FF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2" w:hRule="atLeast"/>
        </w:trPr>
        <w:tc>
          <w:tcPr>
            <w:tcW w:w="853" w:type="pct"/>
            <w:vAlign w:val="center"/>
          </w:tcPr>
          <w:p w14:paraId="73330650">
            <w:pPr>
              <w:pStyle w:val="11"/>
              <w:ind w:firstLine="0"/>
              <w:jc w:val="center"/>
              <w:rPr>
                <w:sz w:val="24"/>
                <w:szCs w:val="18"/>
              </w:rPr>
            </w:pPr>
            <w:r>
              <w:rPr>
                <w:rFonts w:hint="eastAsia"/>
                <w:sz w:val="24"/>
                <w:szCs w:val="18"/>
              </w:rPr>
              <w:t>功能/算法</w:t>
            </w:r>
          </w:p>
        </w:tc>
        <w:tc>
          <w:tcPr>
            <w:tcW w:w="4146" w:type="pct"/>
            <w:vAlign w:val="center"/>
          </w:tcPr>
          <w:p w14:paraId="07861D55">
            <w:pPr>
              <w:pStyle w:val="11"/>
              <w:ind w:firstLine="0"/>
              <w:rPr>
                <w:sz w:val="24"/>
                <w:szCs w:val="18"/>
              </w:rPr>
            </w:pPr>
            <w:r>
              <w:rPr>
                <w:rFonts w:hint="eastAsia"/>
                <w:sz w:val="24"/>
                <w:szCs w:val="18"/>
              </w:rPr>
              <w:t>一个测点一连串的时序数值对应的残差，当最近60个测点的残差有55个满足要求，且当前残差（观察值-预测值）须小于1倍负向偏差（1* Tag.ResidualNegativeThreshold），函数返回true，报警信息：“Long Low fired for [Source Tag] - [Description] on [Asset]”</w:t>
            </w:r>
          </w:p>
        </w:tc>
      </w:tr>
    </w:tbl>
    <w:p w14:paraId="2F79581B">
      <w:pPr>
        <w:pStyle w:val="11"/>
        <w:ind w:firstLine="560" w:firstLineChars="200"/>
      </w:pPr>
      <w:r>
        <w:rPr>
          <w:rFonts w:hint="eastAsia"/>
        </w:rPr>
        <w:t>在一具体实施例中，超球算法训练原理：在仅有水电机组正常运行数据的样本情况下， OneClassSVM能通过对多维特征的融合实现水电机组设备的健康状态评估，但特征向量空间分布的复杂程度会直接影响OneClassSVM的效果。为此基于超球优化支持向量</w:t>
      </w:r>
      <w:r>
        <w:rPr>
          <w:rFonts w:hint="eastAsia"/>
          <w:highlight w:val="none"/>
        </w:rPr>
        <w:t>的水轮机设备异常检测方</w:t>
      </w:r>
      <w:r>
        <w:rPr>
          <w:rFonts w:hint="eastAsia"/>
        </w:rPr>
        <w:t>法，通过超球优化改善特征向量的空间分布以降低数据描述任务的难度，进而使得超球优化能更有效地识别水电机组状态异常。在不同工况、不同测点，超球优化算法效果更好。整体的分析过程如图17所示。</w:t>
      </w:r>
    </w:p>
    <w:p w14:paraId="5D35D2C8">
      <w:pPr>
        <w:pStyle w:val="11"/>
        <w:ind w:firstLine="560" w:firstLineChars="200"/>
      </w:pPr>
      <w:r>
        <w:rPr>
          <w:rFonts w:hint="eastAsia"/>
        </w:rPr>
        <w:t>在一具体实施例中，LSTM算法训练原理：水电机组设备健康往往通过报警阈值进行报警，对于告警后的状态，相关评价导则有相关风险结论，但是对于设备早期的隐患，没有告警或者接近告警值时的健康状况难以及时捕捉分析。基于统计的传统检测方法在解决时间序列异常检测上存在很大挑战，因此提出基于LSTM时间序列重建的方法进行水电机组设备健康风险异常检测。该算法首先引入一层LSTM网络对多测点数据的时间序列进行向量表示，采用另一层LSTM网络对时间序列进行逆序重建，然后利用重建值与实际值之间的误差，通过极大似然估计方法对该时段序列进行异常概率估计，最终通过学习异常报警阈值实现时间序列异常检测。算法过程如下图18所示。</w:t>
      </w:r>
    </w:p>
    <w:p w14:paraId="74E42DBA">
      <w:pPr>
        <w:pStyle w:val="11"/>
        <w:ind w:firstLine="560" w:firstLineChars="200"/>
      </w:pPr>
      <w:r>
        <w:rPr>
          <w:rFonts w:hint="eastAsia"/>
        </w:rPr>
        <w:t>综合以上分析，通过以上综合模型分析，主要通过重构偏离度来估计设备健康趋势。</w:t>
      </w:r>
    </w:p>
    <w:p w14:paraId="30F020F4">
      <w:pPr>
        <w:pStyle w:val="11"/>
        <w:spacing w:line="480" w:lineRule="atLeast"/>
        <w:ind w:firstLine="560" w:firstLineChars="200"/>
      </w:pPr>
      <w:r>
        <w:rPr>
          <w:rFonts w:hint="eastAsia"/>
          <w:lang w:val="en-US" w:eastAsia="zh-CN"/>
        </w:rPr>
        <w:t>将单测点预警预测模型的结果、多测点预警预测模型的结果和整体健康度输入集成模型</w:t>
      </w:r>
      <w:r>
        <w:rPr>
          <w:rFonts w:hint="eastAsia"/>
        </w:rPr>
        <w:t>，结合多个模型的学习能力，形成最终的集成预测结果</w:t>
      </w:r>
      <w:r>
        <w:rPr>
          <w:rFonts w:hint="eastAsia"/>
          <w:lang w:eastAsia="zh-CN"/>
        </w:rPr>
        <w:t>，</w:t>
      </w:r>
      <w:r>
        <w:rPr>
          <w:rFonts w:hint="eastAsia"/>
          <w:lang w:val="en-US" w:eastAsia="zh-CN"/>
        </w:rPr>
        <w:t>得到整个水电机组健康状态</w:t>
      </w:r>
      <w:r>
        <w:rPr>
          <w:rFonts w:hint="eastAsia"/>
        </w:rPr>
        <w:t>。开发集成预测模型能有效降低单模型预测方差，提升预测模型准确性和可靠性。模型集成决策所研究的算法模型包括但不限于投票机制、权重融合、层次化方法、特征融合和模型堆叠、基于密度的融合等方法。</w:t>
      </w:r>
    </w:p>
    <w:p w14:paraId="072CF462">
      <w:pPr>
        <w:pStyle w:val="11"/>
        <w:spacing w:line="480" w:lineRule="atLeast"/>
        <w:ind w:firstLine="560" w:firstLineChars="200"/>
      </w:pPr>
      <w:r>
        <w:rPr>
          <w:rFonts w:hint="eastAsia"/>
        </w:rPr>
        <w:t>作为一种示例，基于水电站实时多维度传感器时序数据，结合人工智能算法开发针对水轮发电机组上导轴承、推导轴承、水导轴承的健康状态和性能监测的预测应用。该预测应用可在大量正常样本的基础上进行建模，获取设备的实时健康度，对上导、推导、水导轴承系统的早期异常进行识别和实现</w:t>
      </w:r>
      <w:r>
        <w:rPr>
          <w:rFonts w:hint="eastAsia"/>
          <w:highlight w:val="none"/>
        </w:rPr>
        <w:t>分级预测。涉及到的相关模型算子经过拆分后分别封装部署在工业互联网平台。开发基于部件显示的模型数据统计仪表盘，</w:t>
      </w:r>
      <w:r>
        <w:rPr>
          <w:rFonts w:hint="eastAsia"/>
          <w:highlight w:val="none"/>
          <w:lang w:val="en-US" w:eastAsia="zh-CN"/>
        </w:rPr>
        <w:t>能实时展示</w:t>
      </w:r>
      <w:r>
        <w:rPr>
          <w:rFonts w:hint="eastAsia"/>
          <w:highlight w:val="none"/>
        </w:rPr>
        <w:t>检测数据和模型预测结果，</w:t>
      </w:r>
      <w:r>
        <w:rPr>
          <w:rFonts w:hint="eastAsia"/>
          <w:highlight w:val="none"/>
          <w:lang w:val="en-US" w:eastAsia="zh-CN"/>
        </w:rPr>
        <w:t>便于运维人员</w:t>
      </w:r>
      <w:r>
        <w:rPr>
          <w:rFonts w:hint="eastAsia"/>
          <w:highlight w:val="none"/>
        </w:rPr>
        <w:t>查看每个系统部件和测点的问题严重程度及偏离度，</w:t>
      </w:r>
      <w:r>
        <w:rPr>
          <w:rFonts w:hint="eastAsia"/>
          <w:highlight w:val="none"/>
        </w:rPr>
        <w:t>以</w:t>
      </w:r>
      <w:r>
        <w:rPr>
          <w:rFonts w:hint="eastAsia"/>
        </w:rPr>
        <w:t>达到对机组运行状态的整体监测和设备异常及时处理的目标。</w:t>
      </w:r>
    </w:p>
    <w:p w14:paraId="62A7FF82">
      <w:pPr>
        <w:pStyle w:val="11"/>
        <w:spacing w:line="480" w:lineRule="atLeast"/>
        <w:ind w:firstLine="560" w:firstLineChars="200"/>
      </w:pPr>
      <w:r>
        <w:rPr>
          <w:rFonts w:hint="eastAsia"/>
        </w:rPr>
        <w:t>在一具体实施例中，对于水电机组设备健康状态预警预测分析而言，主要采用单测点偏离度和多测点偏离度进行异常风险估计，多测点偏离度更偏向于设备部件或设备整体。从这个角度出发，对于不同偏离度和异常发生概率之间的非线性映射，一方面，利用预测值与实际值之间的偏离度，通过极大似然估计方法进行异常概率估计；另一方面，通过预测值与真实值之间概率分布关系进行异常估计；最终根据实际情况进行验证确认。</w:t>
      </w:r>
    </w:p>
    <w:p w14:paraId="620208FF">
      <w:pPr>
        <w:pStyle w:val="11"/>
        <w:spacing w:line="480" w:lineRule="atLeast"/>
        <w:ind w:firstLine="560" w:firstLineChars="200"/>
      </w:pPr>
      <w:r>
        <w:rPr>
          <w:rFonts w:hint="eastAsia"/>
          <w:lang w:val="en-US" w:eastAsia="zh-CN"/>
        </w:rPr>
        <w:t>发现异常后，使用概率图模型对可能造成的隐患进行挖掘。</w:t>
      </w:r>
      <w:r>
        <w:rPr>
          <w:rFonts w:hint="eastAsia"/>
        </w:rPr>
        <w:t>在一具体实施例中，</w:t>
      </w:r>
      <w:r>
        <w:rPr>
          <w:rFonts w:hint="eastAsia"/>
          <w:lang w:val="en-US" w:eastAsia="zh-CN"/>
        </w:rPr>
        <w:t>异常分析、</w:t>
      </w:r>
      <w:r>
        <w:rPr>
          <w:rFonts w:hint="eastAsia"/>
        </w:rPr>
        <w:t>隐患预测整体逻辑思路如图19所示。</w:t>
      </w:r>
    </w:p>
    <w:p w14:paraId="032018A0">
      <w:pPr>
        <w:pStyle w:val="11"/>
        <w:spacing w:line="480" w:lineRule="atLeast"/>
        <w:ind w:firstLine="560" w:firstLineChars="200"/>
      </w:pPr>
      <w:r>
        <w:rPr>
          <w:rFonts w:hint="eastAsia"/>
        </w:rPr>
        <w:t>当多个测点组合已经分析出在T时刻存在异常偏离度，表明存在潜在异常风险。</w:t>
      </w:r>
      <w:r>
        <w:rPr>
          <w:rFonts w:hint="eastAsia"/>
          <w:lang w:val="en-US" w:eastAsia="zh-CN"/>
        </w:rPr>
        <w:t>考虑到</w:t>
      </w:r>
      <w:r>
        <w:rPr>
          <w:rFonts w:hint="eastAsia"/>
        </w:rPr>
        <w:t>异常可能会在未来T+1时刻继续传播，特征量之间会产生依赖关系</w:t>
      </w:r>
      <w:r>
        <w:rPr>
          <w:rFonts w:hint="eastAsia"/>
          <w:highlight w:val="none"/>
        </w:rPr>
        <w:t>，</w:t>
      </w:r>
      <w:r>
        <w:rPr>
          <w:rFonts w:hint="eastAsia"/>
          <w:highlight w:val="none"/>
          <w:lang w:val="en-US" w:eastAsia="zh-CN"/>
        </w:rPr>
        <w:t>导致</w:t>
      </w:r>
      <w:r>
        <w:rPr>
          <w:rFonts w:hint="eastAsia"/>
          <w:highlight w:val="none"/>
        </w:rPr>
        <w:t>设备</w:t>
      </w:r>
      <w:r>
        <w:rPr>
          <w:rFonts w:hint="eastAsia"/>
          <w:highlight w:val="none"/>
          <w:lang w:val="en-US" w:eastAsia="zh-CN"/>
        </w:rPr>
        <w:t>出现</w:t>
      </w:r>
      <w:r>
        <w:rPr>
          <w:rFonts w:hint="eastAsia"/>
          <w:highlight w:val="none"/>
        </w:rPr>
        <w:t>隐患，</w:t>
      </w:r>
      <w:r>
        <w:rPr>
          <w:rFonts w:hint="eastAsia"/>
          <w:highlight w:val="none"/>
        </w:rPr>
        <w:t>此时需</w:t>
      </w:r>
      <w:r>
        <w:rPr>
          <w:rFonts w:hint="eastAsia"/>
        </w:rPr>
        <w:t>要对未来设备的隐患状态趋势进行预测。整个模型的逻辑原理如下图20所示。</w:t>
      </w:r>
    </w:p>
    <w:p w14:paraId="015D5A84">
      <w:pPr>
        <w:pStyle w:val="11"/>
        <w:spacing w:line="480" w:lineRule="atLeast"/>
        <w:ind w:firstLine="560" w:firstLineChars="200"/>
      </w:pPr>
      <w:r>
        <w:rPr>
          <w:rFonts w:hint="eastAsia"/>
        </w:rPr>
        <w:t>贝叶斯网络隐患预测分析，原始数据：导叶开度、转速、上导瓦温、上导油温、轴承冷却水流量、油槽油混水信号、上导X向摆度、上导Y向摆度、油槽油位、其他。</w:t>
      </w:r>
    </w:p>
    <w:p w14:paraId="756629C2">
      <w:pPr>
        <w:pStyle w:val="11"/>
        <w:spacing w:line="480" w:lineRule="atLeast"/>
        <w:ind w:firstLine="560" w:firstLineChars="200"/>
      </w:pPr>
      <w:r>
        <w:rPr>
          <w:rFonts w:hint="eastAsia"/>
        </w:rPr>
        <w:t>数据探索分析：通过对原始测点数据进行EDA探索分析，探索分析主要结合设备缺陷数据，业务经验，以及设备状态评价导则进行综合分析，对测点数据进行离散化处理。</w:t>
      </w:r>
    </w:p>
    <w:p w14:paraId="6B5CE3F7">
      <w:pPr>
        <w:pStyle w:val="11"/>
        <w:spacing w:line="480" w:lineRule="atLeast"/>
        <w:ind w:firstLine="560" w:firstLineChars="200"/>
      </w:pPr>
      <w:r>
        <w:rPr>
          <w:rFonts w:hint="eastAsia"/>
        </w:rPr>
        <w:t>最终得到模型输入数据，模型主要采用概率图模型、贝叶斯网络对数据特征数据进行处理。</w:t>
      </w:r>
    </w:p>
    <w:p w14:paraId="65A26880">
      <w:pPr>
        <w:pStyle w:val="11"/>
        <w:spacing w:line="480" w:lineRule="atLeast"/>
        <w:ind w:firstLine="560" w:firstLineChars="200"/>
      </w:pPr>
      <w:r>
        <w:rPr>
          <w:rFonts w:hint="eastAsia"/>
        </w:rPr>
        <w:t>模型输入数据：</w:t>
      </w:r>
    </w:p>
    <w:p w14:paraId="228FD463">
      <w:pPr>
        <w:pStyle w:val="11"/>
        <w:spacing w:line="480" w:lineRule="atLeast"/>
        <w:ind w:firstLine="560" w:firstLineChars="200"/>
      </w:pPr>
      <w:r>
        <w:rPr>
          <w:rFonts w:hint="eastAsia"/>
        </w:rPr>
        <w:t>上导瓦温℃: (45~49)</w:t>
      </w:r>
      <w:r>
        <w:rPr>
          <w:rFonts w:hint="eastAsia"/>
          <w:lang w:eastAsia="zh-CN"/>
        </w:rPr>
        <w:t>、</w:t>
      </w:r>
      <w:r>
        <w:rPr>
          <w:rFonts w:hint="eastAsia"/>
        </w:rPr>
        <w:t>(50~60)</w:t>
      </w:r>
      <w:r>
        <w:rPr>
          <w:rFonts w:hint="eastAsia"/>
          <w:lang w:eastAsia="zh-CN"/>
        </w:rPr>
        <w:t>、</w:t>
      </w:r>
      <w:r>
        <w:rPr>
          <w:rFonts w:hint="eastAsia"/>
        </w:rPr>
        <w:t>(60~70)</w:t>
      </w:r>
      <w:r>
        <w:rPr>
          <w:rFonts w:hint="eastAsia"/>
          <w:lang w:eastAsia="zh-CN"/>
        </w:rPr>
        <w:t>、</w:t>
      </w:r>
      <w:r>
        <w:rPr>
          <w:rFonts w:hint="eastAsia"/>
        </w:rPr>
        <w:t>(72~85)</w:t>
      </w:r>
    </w:p>
    <w:p w14:paraId="02D3A44C">
      <w:pPr>
        <w:pStyle w:val="11"/>
        <w:spacing w:line="480" w:lineRule="atLeast"/>
        <w:ind w:firstLine="560" w:firstLineChars="200"/>
      </w:pPr>
      <w:r>
        <w:rPr>
          <w:rFonts w:hint="eastAsia"/>
        </w:rPr>
        <w:t>上导X向摆度μm: (100~190)</w:t>
      </w:r>
      <w:r>
        <w:rPr>
          <w:rFonts w:hint="eastAsia"/>
          <w:lang w:eastAsia="zh-CN"/>
        </w:rPr>
        <w:t>、</w:t>
      </w:r>
      <w:r>
        <w:rPr>
          <w:rFonts w:hint="eastAsia"/>
        </w:rPr>
        <w:t>(200~300)</w:t>
      </w:r>
      <w:r>
        <w:rPr>
          <w:rFonts w:hint="eastAsia"/>
          <w:lang w:eastAsia="zh-CN"/>
        </w:rPr>
        <w:t>、</w:t>
      </w:r>
      <w:r>
        <w:rPr>
          <w:rFonts w:hint="eastAsia"/>
        </w:rPr>
        <w:t>(320~400)</w:t>
      </w:r>
    </w:p>
    <w:p w14:paraId="0C52B248">
      <w:pPr>
        <w:pStyle w:val="11"/>
        <w:spacing w:line="480" w:lineRule="atLeast"/>
        <w:ind w:firstLine="560" w:firstLineChars="200"/>
      </w:pPr>
      <w:r>
        <w:rPr>
          <w:rFonts w:hint="eastAsia"/>
        </w:rPr>
        <w:t>导叶开度：全关、空转、空载、全开；</w:t>
      </w:r>
    </w:p>
    <w:p w14:paraId="5B8E3040">
      <w:pPr>
        <w:pStyle w:val="11"/>
        <w:spacing w:line="480" w:lineRule="atLeast"/>
        <w:ind w:firstLine="560" w:firstLineChars="200"/>
      </w:pPr>
      <w:r>
        <w:rPr>
          <w:rFonts w:hint="eastAsia"/>
        </w:rPr>
        <w:t>转速：0%、25%、50%、95% 、100%；</w:t>
      </w:r>
    </w:p>
    <w:p w14:paraId="78DDEBA4">
      <w:pPr>
        <w:pStyle w:val="11"/>
        <w:spacing w:line="480" w:lineRule="atLeast"/>
        <w:ind w:firstLine="560" w:firstLineChars="200"/>
      </w:pPr>
      <w:r>
        <w:rPr>
          <w:rFonts w:hint="eastAsia"/>
        </w:rPr>
        <w:t>信号量：油循环油泵启动信号、冷却水示流信号。</w:t>
      </w:r>
    </w:p>
    <w:p w14:paraId="74A5F2C7">
      <w:pPr>
        <w:pStyle w:val="11"/>
        <w:spacing w:line="480" w:lineRule="atLeast"/>
        <w:ind w:firstLine="560" w:firstLineChars="200"/>
      </w:pPr>
      <w:r>
        <w:rPr>
          <w:rFonts w:hint="eastAsia"/>
        </w:rPr>
        <w:t>贝叶斯网络模型业务解释性，如图21所示。</w:t>
      </w:r>
    </w:p>
    <w:p w14:paraId="1D5FB468">
      <w:pPr>
        <w:pStyle w:val="11"/>
        <w:spacing w:line="480" w:lineRule="atLeast"/>
        <w:ind w:firstLine="560" w:firstLineChars="200"/>
      </w:pPr>
      <w:r>
        <w:rPr>
          <w:rFonts w:hint="eastAsia"/>
        </w:rPr>
        <w:t>整个贝叶斯网络模型本身是对现在设备评价导则的升级，消除了单一状态量风险的估计，结合多个装下组合下的隐患估计，符合运维运行思维，因此模型本身具有较强的解释性，同时结合数据趋势分析、劣化趋势分析角度完成数据层面的解释，最终为推理过程符合业务场景进行业务解释，此是其他算法难以比拟的地方。</w:t>
      </w:r>
    </w:p>
    <w:p w14:paraId="7B98B3D9">
      <w:pPr>
        <w:pStyle w:val="11"/>
        <w:spacing w:line="480" w:lineRule="atLeast"/>
        <w:ind w:firstLine="560" w:firstLineChars="200"/>
      </w:pPr>
      <w:r>
        <w:rPr>
          <w:rFonts w:hint="eastAsia"/>
        </w:rPr>
        <w:t>机组设备隐患预测优化策略，对于贝叶斯网络的优势非常明显，主要集中在如下几点：</w:t>
      </w:r>
    </w:p>
    <w:p w14:paraId="2C388345">
      <w:pPr>
        <w:pStyle w:val="11"/>
        <w:spacing w:line="480" w:lineRule="atLeast"/>
        <w:ind w:firstLine="560" w:firstLineChars="200"/>
      </w:pPr>
      <w:r>
        <w:rPr>
          <w:rFonts w:hint="eastAsia"/>
        </w:rPr>
        <w:t>不依赖于负样本：在早期样本缺少情况下，专家经验少量参与，对特征量进行离散化。概率软距离判断隐患：相对于偏离度等算法，利用特征之间的概率依赖来推断隐患发生概率，适合不确定性和模糊性建模。业务解释性强：由于模型基于特征之间的相互依赖性建模，符合运维经验，具有解释性。自动更新学习：通过内存计算模式，不断更新特征划分区间，进行模型自学习更新。</w:t>
      </w:r>
    </w:p>
    <w:p w14:paraId="0F2B7F7A">
      <w:pPr>
        <w:pStyle w:val="11"/>
        <w:spacing w:line="480" w:lineRule="atLeast"/>
        <w:ind w:firstLine="560" w:firstLineChars="200"/>
        <w:rPr>
          <w:rFonts w:hint="eastAsia"/>
        </w:rPr>
      </w:pPr>
      <w:r>
        <w:rPr>
          <w:rFonts w:hint="eastAsia"/>
        </w:rPr>
        <w:t>贝叶斯网络的优化策略，针对贝叶斯网络的优化，</w:t>
      </w:r>
      <w:r>
        <w:rPr>
          <w:rFonts w:hint="eastAsia"/>
          <w:highlight w:val="none"/>
        </w:rPr>
        <w:t>主要是计算问题，早期的贝叶斯网络一直都是解决设备类故障诊断或者预测的优秀方法之一，与神经网络、专家知识库并列，但由于特征量的各种组合带来的组合爆炸问题，导致贝叶斯网络的应用受到限制。基于此情况，存在</w:t>
      </w:r>
      <w:r>
        <w:rPr>
          <w:rFonts w:hint="eastAsia"/>
          <w:highlight w:val="none"/>
          <w:lang w:val="en-US" w:eastAsia="zh-CN"/>
        </w:rPr>
        <w:t>以下</w:t>
      </w:r>
      <w:r>
        <w:rPr>
          <w:rFonts w:hint="eastAsia"/>
          <w:highlight w:val="none"/>
        </w:rPr>
        <w:t>优化点：</w:t>
      </w:r>
      <w:r>
        <w:rPr>
          <w:rFonts w:hint="eastAsia"/>
          <w:highlight w:val="none"/>
          <w:lang w:val="en-US" w:eastAsia="zh-CN"/>
        </w:rPr>
        <w:t>①</w:t>
      </w:r>
      <w:r>
        <w:rPr>
          <w:rFonts w:hint="eastAsia"/>
        </w:rPr>
        <w:t>利用业务规则对无效特征进行过滤后，</w:t>
      </w:r>
      <w:r>
        <w:rPr>
          <w:rFonts w:hint="eastAsia"/>
          <w:lang w:val="en-US" w:eastAsia="zh-CN"/>
        </w:rPr>
        <w:t>再</w:t>
      </w:r>
      <w:r>
        <w:rPr>
          <w:rFonts w:hint="eastAsia"/>
        </w:rPr>
        <w:t>使用模型进行训练；</w:t>
      </w:r>
      <w:r>
        <w:rPr>
          <w:rFonts w:hint="eastAsia"/>
          <w:lang w:val="en-US" w:eastAsia="zh-CN"/>
        </w:rPr>
        <w:t>②</w:t>
      </w:r>
      <w:r>
        <w:rPr>
          <w:rFonts w:hint="eastAsia"/>
        </w:rPr>
        <w:t>对强相关的特征进行加权弱化处理，对特征依赖之间的推理更加的平滑，而不是过度依赖少数强相关特征。</w:t>
      </w:r>
    </w:p>
    <w:p w14:paraId="3BF089CC">
      <w:pPr>
        <w:pStyle w:val="11"/>
        <w:spacing w:line="480" w:lineRule="atLeast"/>
        <w:ind w:firstLine="560" w:firstLineChars="200"/>
        <w:rPr>
          <w:rFonts w:hint="default" w:eastAsia="楷体_GB2312"/>
          <w:lang w:val="en-US" w:eastAsia="zh-CN"/>
        </w:rPr>
      </w:pPr>
      <w:r>
        <w:rPr>
          <w:rFonts w:hint="eastAsia"/>
        </w:rPr>
        <w:t>在一具体实施例中</w:t>
      </w:r>
      <w:r>
        <w:rPr>
          <w:rFonts w:hint="eastAsia"/>
          <w:lang w:eastAsia="zh-CN"/>
        </w:rPr>
        <w:t>，</w:t>
      </w:r>
      <w:r>
        <w:rPr>
          <w:rFonts w:hint="eastAsia"/>
          <w:lang w:val="en-US" w:eastAsia="zh-CN"/>
        </w:rPr>
        <w:t>根据业务规则搭建测点关系图，作为贝叶斯网络的数据逻辑结构图；将测点数据及潜在隐患进行离散化处理后，输入给贝叶斯模型进行训练；最后，针对输入的测点数据，进行离散化后，使用贝叶斯模型可以预测出可能出现的隐患及其发生概率。</w:t>
      </w:r>
    </w:p>
    <w:p w14:paraId="12C62BD6">
      <w:pPr>
        <w:pStyle w:val="11"/>
        <w:spacing w:line="480" w:lineRule="atLeast"/>
        <w:ind w:firstLine="560" w:firstLineChars="200"/>
      </w:pPr>
      <w:r>
        <w:rPr>
          <w:rFonts w:hint="eastAsia"/>
        </w:rPr>
        <w:t>在一具体实施例中，本发明通过基于大数据+AI的方式研究实现了一种水电机组设备的健康管理体系，明显的有益效果如下：通过水电机组设备健康预警预测模型体系</w:t>
      </w:r>
      <w:r>
        <w:rPr>
          <w:rFonts w:hint="eastAsia"/>
          <w:lang w:eastAsia="zh-CN"/>
        </w:rPr>
        <w:t>、</w:t>
      </w:r>
      <w:r>
        <w:rPr>
          <w:rFonts w:hint="eastAsia"/>
        </w:rPr>
        <w:t>设备测点预警预测模型</w:t>
      </w:r>
      <w:r>
        <w:rPr>
          <w:rFonts w:hint="eastAsia"/>
          <w:lang w:eastAsia="zh-CN"/>
        </w:rPr>
        <w:t>、</w:t>
      </w:r>
      <w:r>
        <w:rPr>
          <w:rFonts w:hint="eastAsia"/>
        </w:rPr>
        <w:t>劣化趋势模型</w:t>
      </w:r>
      <w:r>
        <w:rPr>
          <w:rFonts w:hint="eastAsia"/>
          <w:lang w:eastAsia="zh-CN"/>
        </w:rPr>
        <w:t>、</w:t>
      </w:r>
      <w:r>
        <w:rPr>
          <w:rFonts w:hint="eastAsia"/>
        </w:rPr>
        <w:t>数据趋势分析模型，构建</w:t>
      </w:r>
      <w:r>
        <w:rPr>
          <w:rFonts w:hint="eastAsia"/>
          <w:lang w:val="en-US" w:eastAsia="zh-CN"/>
        </w:rPr>
        <w:t>了</w:t>
      </w:r>
      <w:r>
        <w:rPr>
          <w:rFonts w:hint="eastAsia"/>
        </w:rPr>
        <w:t>完整</w:t>
      </w:r>
      <w:r>
        <w:rPr>
          <w:rFonts w:hint="eastAsia"/>
          <w:lang w:val="en-US" w:eastAsia="zh-CN"/>
        </w:rPr>
        <w:t>的</w:t>
      </w:r>
      <w:r>
        <w:rPr>
          <w:rFonts w:hint="eastAsia"/>
        </w:rPr>
        <w:t>基于大数据的水电机组健康风险管理体系，提高水电机组早期缺陷劣化方向的精准度，提高水电机组健康管理智能化水平；</w:t>
      </w:r>
    </w:p>
    <w:p w14:paraId="578C7347">
      <w:pPr>
        <w:pStyle w:val="11"/>
        <w:spacing w:line="480" w:lineRule="atLeast"/>
        <w:ind w:firstLine="560" w:firstLineChars="200"/>
      </w:pPr>
      <w:r>
        <w:rPr>
          <w:rFonts w:hint="eastAsia"/>
        </w:rPr>
        <w:t>水电机组的设备健康预警预测体系，利用人工智能结合大数据分析，真正做到挖掘数据规律，依据数据推断设备风险状态隐患的概率，不仅做到了事前防范，还为水电机组基于大数据运行运维管理标准提供指导支撑，形成企业标准；</w:t>
      </w:r>
    </w:p>
    <w:p w14:paraId="422F5005">
      <w:pPr>
        <w:pStyle w:val="11"/>
        <w:spacing w:line="480" w:lineRule="atLeast"/>
        <w:ind w:firstLine="560" w:firstLineChars="200"/>
      </w:pPr>
      <w:r>
        <w:rPr>
          <w:rFonts w:hint="eastAsia"/>
        </w:rPr>
        <w:t>水电机组预警预测分析体系，</w:t>
      </w:r>
      <w:r>
        <w:rPr>
          <w:rFonts w:hint="eastAsia"/>
          <w:lang w:val="en-US" w:eastAsia="zh-CN"/>
        </w:rPr>
        <w:t>核心</w:t>
      </w:r>
      <w:r>
        <w:rPr>
          <w:rFonts w:hint="eastAsia"/>
        </w:rPr>
        <w:t>计算</w:t>
      </w:r>
      <w:r>
        <w:rPr>
          <w:rFonts w:hint="eastAsia"/>
          <w:lang w:val="en-US" w:eastAsia="zh-CN"/>
        </w:rPr>
        <w:t>任务</w:t>
      </w:r>
      <w:r>
        <w:rPr>
          <w:rFonts w:hint="eastAsia"/>
        </w:rPr>
        <w:t>系统自动执行，通过</w:t>
      </w:r>
      <w:r>
        <w:rPr>
          <w:rFonts w:hint="eastAsia"/>
          <w:lang w:val="en-US" w:eastAsia="zh-CN"/>
        </w:rPr>
        <w:t>采用</w:t>
      </w:r>
      <w:r>
        <w:rPr>
          <w:rFonts w:hint="eastAsia"/>
        </w:rPr>
        <w:t>数据解</w:t>
      </w:r>
      <w:r>
        <w:rPr>
          <w:rFonts w:hint="eastAsia"/>
          <w:highlight w:val="none"/>
        </w:rPr>
        <w:t>释性</w:t>
      </w:r>
      <w:r>
        <w:rPr>
          <w:rFonts w:hint="eastAsia"/>
          <w:highlight w:val="none"/>
          <w:lang w:val="en-US" w:eastAsia="zh-CN"/>
        </w:rPr>
        <w:t>和</w:t>
      </w:r>
      <w:r>
        <w:rPr>
          <w:rFonts w:hint="eastAsia"/>
          <w:highlight w:val="none"/>
        </w:rPr>
        <w:t>模型解释性</w:t>
      </w:r>
      <w:r>
        <w:rPr>
          <w:rFonts w:hint="eastAsia"/>
          <w:highlight w:val="none"/>
          <w:lang w:val="en-US" w:eastAsia="zh-CN"/>
        </w:rPr>
        <w:t>技术</w:t>
      </w:r>
      <w:r>
        <w:rPr>
          <w:rFonts w:hint="eastAsia"/>
          <w:highlight w:val="none"/>
          <w:lang w:eastAsia="zh-CN"/>
        </w:rPr>
        <w:t>，</w:t>
      </w:r>
      <w:r>
        <w:rPr>
          <w:rFonts w:hint="eastAsia"/>
          <w:highlight w:val="none"/>
          <w:lang w:val="en-US" w:eastAsia="zh-CN"/>
        </w:rPr>
        <w:t>结合领域专家的</w:t>
      </w:r>
      <w:r>
        <w:rPr>
          <w:rFonts w:hint="eastAsia"/>
          <w:highlight w:val="none"/>
        </w:rPr>
        <w:t>少量经验，</w:t>
      </w:r>
      <w:r>
        <w:rPr>
          <w:rFonts w:hint="eastAsia"/>
          <w:highlight w:val="none"/>
          <w:lang w:val="en-US" w:eastAsia="zh-CN"/>
        </w:rPr>
        <w:t>有效</w:t>
      </w:r>
      <w:r>
        <w:rPr>
          <w:rFonts w:hint="eastAsia"/>
          <w:highlight w:val="none"/>
        </w:rPr>
        <w:t>减少因人工经验判断带来的偏差，提高趋势判断</w:t>
      </w:r>
      <w:r>
        <w:rPr>
          <w:rFonts w:hint="eastAsia"/>
          <w:highlight w:val="none"/>
          <w:lang w:val="en-US" w:eastAsia="zh-CN"/>
        </w:rPr>
        <w:t>的准确性</w:t>
      </w:r>
      <w:r>
        <w:rPr>
          <w:rFonts w:hint="eastAsia"/>
          <w:highlight w:val="none"/>
        </w:rPr>
        <w:t>，</w:t>
      </w:r>
      <w:r>
        <w:rPr>
          <w:rFonts w:hint="eastAsia"/>
          <w:highlight w:val="none"/>
          <w:lang w:val="en-US" w:eastAsia="zh-CN"/>
        </w:rPr>
        <w:t>能在</w:t>
      </w:r>
      <w:r>
        <w:rPr>
          <w:rFonts w:hint="eastAsia"/>
          <w:highlight w:val="none"/>
        </w:rPr>
        <w:t>一</w:t>
      </w:r>
      <w:r>
        <w:rPr>
          <w:rFonts w:hint="eastAsia"/>
          <w:highlight w:val="none"/>
          <w:lang w:eastAsia="zh-CN"/>
        </w:rPr>
        <w:t>个</w:t>
      </w:r>
      <w:r>
        <w:rPr>
          <w:rFonts w:hint="eastAsia"/>
          <w:highlight w:val="none"/>
        </w:rPr>
        <w:t>页面</w:t>
      </w:r>
      <w:r>
        <w:rPr>
          <w:rFonts w:hint="eastAsia"/>
          <w:highlight w:val="none"/>
          <w:lang w:val="en-US" w:eastAsia="zh-CN"/>
        </w:rPr>
        <w:t>完成对分析结果的</w:t>
      </w:r>
      <w:r>
        <w:rPr>
          <w:rFonts w:hint="eastAsia"/>
          <w:highlight w:val="none"/>
        </w:rPr>
        <w:t>可视化复盘</w:t>
      </w:r>
      <w:r>
        <w:rPr>
          <w:rFonts w:hint="eastAsia"/>
          <w:highlight w:val="none"/>
        </w:rPr>
        <w:t>，</w:t>
      </w:r>
      <w:r>
        <w:rPr>
          <w:rFonts w:hint="eastAsia"/>
        </w:rPr>
        <w:t>减少查询验证工作量，真正提高了数字化支撑作用</w:t>
      </w:r>
      <w:r>
        <w:rPr>
          <w:rFonts w:hint="eastAsia"/>
          <w:lang w:eastAsia="zh-CN"/>
        </w:rPr>
        <w:t>，</w:t>
      </w:r>
      <w:r>
        <w:rPr>
          <w:rFonts w:hint="eastAsia"/>
          <w:lang w:val="en-US" w:eastAsia="zh-CN"/>
        </w:rPr>
        <w:t>提升了整体运维效率</w:t>
      </w:r>
      <w:r>
        <w:rPr>
          <w:rFonts w:hint="eastAsia"/>
        </w:rPr>
        <w:t>。</w:t>
      </w:r>
    </w:p>
    <w:p w14:paraId="2C1DB8DE">
      <w:pPr>
        <w:pStyle w:val="11"/>
        <w:spacing w:line="480" w:lineRule="atLeast"/>
        <w:ind w:firstLine="560" w:firstLineChars="200"/>
      </w:pPr>
      <w:r>
        <w:rPr>
          <w:rFonts w:hint="eastAsia"/>
        </w:rPr>
        <w:t>通过建立正确的水电机组设备的预警预测分析体系准确找到设备劣化隐患方向，根据历史项目经验，通过台账数据统计，早期隐患发现率提高40%，节约消缺时间大约30%，大致节约10-20天的隐患处理时间，减少了20%~30%检修及运维费用支出；</w:t>
      </w:r>
    </w:p>
    <w:p w14:paraId="0B49E974">
      <w:pPr>
        <w:pStyle w:val="11"/>
        <w:spacing w:line="480" w:lineRule="atLeast"/>
        <w:ind w:firstLine="560" w:firstLineChars="200"/>
      </w:pPr>
      <w:r>
        <w:rPr>
          <w:rFonts w:hint="eastAsia"/>
        </w:rPr>
        <w:t>通过实施项目的经验推断，早期水电机组的预警预测分析全过程可视化复盘，减少48%左右、大致2-5天的查询验证时间，提高运维效率；</w:t>
      </w:r>
    </w:p>
    <w:p w14:paraId="2D8DC196">
      <w:pPr>
        <w:pStyle w:val="11"/>
        <w:spacing w:line="480" w:lineRule="atLeast"/>
        <w:ind w:firstLine="560" w:firstLineChars="200"/>
      </w:pPr>
      <w:r>
        <w:rPr>
          <w:rFonts w:hint="eastAsia"/>
        </w:rPr>
        <w:t>根据设备健康学验证，通过建立早期的设备预警</w:t>
      </w:r>
      <w:r>
        <w:rPr>
          <w:rFonts w:hint="eastAsia"/>
          <w:highlight w:val="none"/>
        </w:rPr>
        <w:t>预测体系，</w:t>
      </w:r>
      <w:r>
        <w:rPr>
          <w:rFonts w:hint="eastAsia"/>
        </w:rPr>
        <w:t>能有效的提高设备的使用寿命，保障设备安全运行，根据历史项目经验推算，设备使用寿命提高20%-40%。</w:t>
      </w:r>
    </w:p>
    <w:p w14:paraId="3248650B">
      <w:pPr>
        <w:pStyle w:val="11"/>
        <w:spacing w:line="480" w:lineRule="atLeast"/>
        <w:ind w:firstLine="560" w:firstLineChars="200"/>
      </w:pPr>
      <w:r>
        <w:t>对于</w:t>
      </w:r>
      <w:r>
        <w:rPr>
          <w:rFonts w:hint="eastAsia"/>
        </w:rPr>
        <w:t>系统</w:t>
      </w:r>
      <w:r>
        <w:t>实施例而言，由于其与方法实施例基本相似，所以描述的比较简单，相关之处参见方法实施例的部分说明即可。</w:t>
      </w:r>
    </w:p>
    <w:p w14:paraId="1E5930C3">
      <w:pPr>
        <w:pStyle w:val="11"/>
        <w:spacing w:line="480" w:lineRule="atLeast"/>
        <w:ind w:firstLine="560" w:firstLineChars="200"/>
      </w:pPr>
      <w:r>
        <w:rPr>
          <w:rFonts w:hint="eastAsia"/>
        </w:rPr>
        <w:t>参照图2，</w:t>
      </w:r>
      <w:r>
        <w:t>示出了本申请一实施例提供的一种</w:t>
      </w:r>
      <w:r>
        <w:rPr>
          <w:rFonts w:hint="eastAsia"/>
        </w:rPr>
        <w:t>基于水电机组的风险预测的系统，</w:t>
      </w:r>
      <w:r>
        <w:t>具体</w:t>
      </w:r>
      <w:r>
        <w:rPr>
          <w:rFonts w:hint="eastAsia"/>
        </w:rPr>
        <w:t>包括如下模块，</w:t>
      </w:r>
    </w:p>
    <w:p w14:paraId="5EB0738B">
      <w:pPr>
        <w:pStyle w:val="11"/>
        <w:ind w:firstLine="560" w:firstLineChars="200"/>
      </w:pPr>
      <w:r>
        <w:rPr>
          <w:rFonts w:hint="eastAsia"/>
        </w:rPr>
        <w:t>获取模块210，用于获取水电机组的运行数据，并依据所述运行数据进行处理得到局部异常度和整体健康度；</w:t>
      </w:r>
    </w:p>
    <w:p w14:paraId="324D7902">
      <w:pPr>
        <w:pStyle w:val="11"/>
        <w:ind w:firstLine="560" w:firstLineChars="200"/>
      </w:pPr>
      <w:r>
        <w:rPr>
          <w:rFonts w:hint="eastAsia"/>
        </w:rPr>
        <w:t>隐患概率模块220，用于依据所述局部异常度和所述整体健康度得到</w:t>
      </w:r>
      <w:r>
        <w:rPr>
          <w:rFonts w:hint="eastAsia"/>
          <w:color w:val="auto"/>
        </w:rPr>
        <w:t>水电机组</w:t>
      </w:r>
      <w:r>
        <w:rPr>
          <w:rFonts w:hint="eastAsia"/>
        </w:rPr>
        <w:t>风险隐患的概率。</w:t>
      </w:r>
    </w:p>
    <w:p w14:paraId="61280F93">
      <w:pPr>
        <w:pStyle w:val="11"/>
        <w:spacing w:line="480" w:lineRule="atLeast"/>
        <w:ind w:firstLine="560" w:firstLineChars="200"/>
      </w:pPr>
      <w:r>
        <w:t>在本发明一实施例中，</w:t>
      </w:r>
      <w:r>
        <w:rPr>
          <w:rFonts w:hint="eastAsia"/>
        </w:rPr>
        <w:t>所述获取模块210</w:t>
      </w:r>
      <w:r>
        <w:t>包括：</w:t>
      </w:r>
    </w:p>
    <w:p w14:paraId="58EA700A">
      <w:pPr>
        <w:pStyle w:val="11"/>
        <w:ind w:firstLine="560" w:firstLineChars="200"/>
      </w:pPr>
      <w:r>
        <w:rPr>
          <w:rFonts w:hint="eastAsia"/>
        </w:rPr>
        <w:t>初始数据模块，用于依据所述运行数据进行处理得到初始数据；其中，所述初始数据包括初始水轮发电机数据，初始负荷数据以及初始环境温度数据；</w:t>
      </w:r>
    </w:p>
    <w:p w14:paraId="34D91037">
      <w:pPr>
        <w:pStyle w:val="11"/>
        <w:ind w:firstLine="560" w:firstLineChars="200"/>
      </w:pPr>
      <w:r>
        <w:rPr>
          <w:rFonts w:hint="eastAsia"/>
        </w:rPr>
        <w:t>偏离度模块，用于依据所述初始数据得到局部异常度和整体健康度；</w:t>
      </w:r>
    </w:p>
    <w:p w14:paraId="064FECFE">
      <w:pPr>
        <w:pStyle w:val="11"/>
        <w:spacing w:line="480" w:lineRule="atLeast"/>
        <w:ind w:firstLine="560" w:firstLineChars="200"/>
      </w:pPr>
      <w:r>
        <w:t>在本发明一实施例中，</w:t>
      </w:r>
      <w:r>
        <w:rPr>
          <w:rFonts w:hint="eastAsia"/>
        </w:rPr>
        <w:t>所述偏离度模块220</w:t>
      </w:r>
      <w:r>
        <w:t>包括：</w:t>
      </w:r>
    </w:p>
    <w:p w14:paraId="43438C0A">
      <w:pPr>
        <w:pStyle w:val="11"/>
        <w:ind w:firstLine="560" w:firstLineChars="200"/>
      </w:pPr>
      <w:r>
        <w:rPr>
          <w:rFonts w:hint="eastAsia"/>
        </w:rPr>
        <w:t>局部异常度子模块：用于依据所述初始水轮发电机数据和初始负荷数据进行单测点分析得到局部异常度；</w:t>
      </w:r>
    </w:p>
    <w:p w14:paraId="11602537">
      <w:pPr>
        <w:pStyle w:val="11"/>
        <w:ind w:firstLine="560" w:firstLineChars="200"/>
      </w:pPr>
      <w:r>
        <w:rPr>
          <w:rFonts w:hint="eastAsia"/>
        </w:rPr>
        <w:t>整体健康度子模块：用于依据所述初始水轮发电机数据，所述初始负荷数据以及所述初始环境温度数据进行多测点分析得到整体健康度。</w:t>
      </w:r>
    </w:p>
    <w:p w14:paraId="308070B2">
      <w:pPr>
        <w:pStyle w:val="11"/>
        <w:spacing w:line="480" w:lineRule="atLeast"/>
        <w:ind w:firstLine="560" w:firstLineChars="200"/>
      </w:pPr>
      <w:r>
        <w:t>在本发明一实施例中，</w:t>
      </w:r>
      <w:r>
        <w:rPr>
          <w:rFonts w:hint="eastAsia"/>
        </w:rPr>
        <w:t>所述局部异常度子模块</w:t>
      </w:r>
      <w:r>
        <w:t>包括：</w:t>
      </w:r>
    </w:p>
    <w:p w14:paraId="4A701B9B">
      <w:pPr>
        <w:pStyle w:val="11"/>
        <w:spacing w:line="480" w:lineRule="atLeast"/>
        <w:ind w:firstLine="560" w:firstLineChars="200"/>
      </w:pPr>
      <w:r>
        <w:rPr>
          <w:rFonts w:hint="eastAsia"/>
        </w:rPr>
        <w:t>目标状态量子模块：用于依据所述初始水轮发电机数据和初始负荷数据和预设单测点模型得到目标状态量；</w:t>
      </w:r>
    </w:p>
    <w:p w14:paraId="49DFD2F6">
      <w:pPr>
        <w:pStyle w:val="11"/>
        <w:spacing w:line="480" w:lineRule="atLeast"/>
        <w:ind w:firstLine="560" w:firstLineChars="200"/>
      </w:pPr>
      <w:r>
        <w:rPr>
          <w:rFonts w:hint="eastAsia"/>
        </w:rPr>
        <w:t>局部异常度子模块：用于依据所述目标状态量和标准状态量进行比对得到所述局部异常度。</w:t>
      </w:r>
    </w:p>
    <w:p w14:paraId="2AAD166A">
      <w:pPr>
        <w:pStyle w:val="11"/>
        <w:spacing w:line="480" w:lineRule="atLeast"/>
        <w:ind w:firstLine="560" w:firstLineChars="200"/>
      </w:pPr>
      <w:r>
        <w:t>在本发明一实施例中，</w:t>
      </w:r>
      <w:r>
        <w:rPr>
          <w:rFonts w:hint="eastAsia"/>
        </w:rPr>
        <w:t>所述整体健康度子模块</w:t>
      </w:r>
      <w:r>
        <w:t>包括：</w:t>
      </w:r>
    </w:p>
    <w:p w14:paraId="4D419B53">
      <w:pPr>
        <w:pStyle w:val="11"/>
        <w:spacing w:line="480" w:lineRule="atLeast"/>
        <w:ind w:firstLine="560" w:firstLineChars="200"/>
      </w:pPr>
      <w:r>
        <w:rPr>
          <w:rFonts w:hint="eastAsia"/>
        </w:rPr>
        <w:t>预测健康度子模块：用于依据所述初始水轮发电机数据，所述初始负荷数据以及所述初始环境温度数据输入预设多测点模型得到预测健康度；</w:t>
      </w:r>
    </w:p>
    <w:p w14:paraId="68F0AF8B">
      <w:pPr>
        <w:pStyle w:val="11"/>
        <w:spacing w:line="480" w:lineRule="atLeast"/>
        <w:ind w:firstLine="560" w:firstLineChars="200"/>
      </w:pPr>
      <w:r>
        <w:rPr>
          <w:rFonts w:hint="eastAsia"/>
        </w:rPr>
        <w:t>整体健康度子模块：用于依据所述预测健康度和标准健康度进行比对得到整体健康度。</w:t>
      </w:r>
    </w:p>
    <w:p w14:paraId="748B5304">
      <w:pPr>
        <w:pStyle w:val="11"/>
        <w:spacing w:line="480" w:lineRule="atLeast"/>
        <w:ind w:firstLine="560" w:firstLineChars="200"/>
      </w:pPr>
      <w:r>
        <w:t>在本发明一实施例中，</w:t>
      </w:r>
      <w:r>
        <w:rPr>
          <w:rFonts w:hint="eastAsia"/>
        </w:rPr>
        <w:t>所述隐患概率模块230</w:t>
      </w:r>
      <w:r>
        <w:t>包括：</w:t>
      </w:r>
    </w:p>
    <w:p w14:paraId="1FFCB365">
      <w:pPr>
        <w:pStyle w:val="11"/>
        <w:ind w:firstLine="560" w:firstLineChars="200"/>
      </w:pPr>
      <w:r>
        <w:rPr>
          <w:rFonts w:hint="eastAsia"/>
        </w:rPr>
        <w:t>概率子模块：用于将所述局部异常度和所述整体健康度进行非线性映射</w:t>
      </w:r>
      <w:r>
        <w:rPr>
          <w:rFonts w:hint="eastAsia"/>
          <w:lang w:val="en-US" w:eastAsia="zh-CN"/>
        </w:rPr>
        <w:t>计算</w:t>
      </w:r>
      <w:r>
        <w:rPr>
          <w:rFonts w:hint="eastAsia"/>
        </w:rPr>
        <w:t>得到所述</w:t>
      </w:r>
      <w:r>
        <w:rPr>
          <w:rFonts w:hint="eastAsia"/>
          <w:color w:val="auto"/>
        </w:rPr>
        <w:t>水电机组</w:t>
      </w:r>
      <w:r>
        <w:rPr>
          <w:rFonts w:hint="eastAsia"/>
        </w:rPr>
        <w:t>风险隐患的概率。</w:t>
      </w:r>
    </w:p>
    <w:p w14:paraId="3C7AF5BF">
      <w:pPr>
        <w:pStyle w:val="11"/>
        <w:spacing w:line="480" w:lineRule="atLeast"/>
        <w:ind w:firstLine="560" w:firstLineChars="200"/>
      </w:pPr>
      <w:r>
        <w:t>在本发明一实施例中，</w:t>
      </w:r>
      <w:r>
        <w:rPr>
          <w:rFonts w:hint="eastAsia"/>
        </w:rPr>
        <w:t>所述概率子模块</w:t>
      </w:r>
      <w:r>
        <w:t>包括：</w:t>
      </w:r>
    </w:p>
    <w:p w14:paraId="543261E0">
      <w:pPr>
        <w:pStyle w:val="11"/>
        <w:ind w:firstLine="560" w:firstLineChars="200"/>
      </w:pPr>
      <w:r>
        <w:rPr>
          <w:rFonts w:hint="eastAsia"/>
        </w:rPr>
        <w:t>贝叶斯网络子模块：用于将</w:t>
      </w:r>
      <w:r>
        <w:rPr>
          <w:rFonts w:hint="eastAsia"/>
          <w:lang w:val="en-US" w:eastAsia="zh-CN"/>
        </w:rPr>
        <w:t>离散化后的测点数据</w:t>
      </w:r>
      <w:r>
        <w:rPr>
          <w:rFonts w:hint="eastAsia"/>
        </w:rPr>
        <w:t>输入贝叶斯网络</w:t>
      </w:r>
      <w:r>
        <w:rPr>
          <w:rFonts w:hint="eastAsia"/>
          <w:lang w:eastAsia="zh-CN"/>
        </w:rPr>
        <w:t>，</w:t>
      </w:r>
      <w:r>
        <w:rPr>
          <w:rFonts w:hint="eastAsia"/>
          <w:lang w:val="en-US" w:eastAsia="zh-CN"/>
        </w:rPr>
        <w:t>计算</w:t>
      </w:r>
      <w:bookmarkStart w:id="2" w:name="_GoBack"/>
      <w:r>
        <w:rPr>
          <w:rFonts w:hint="eastAsia"/>
          <w:highlight w:val="none"/>
        </w:rPr>
        <w:t>得到所述</w:t>
      </w:r>
      <w:bookmarkEnd w:id="2"/>
      <w:r>
        <w:rPr>
          <w:rFonts w:hint="eastAsia"/>
          <w:color w:val="auto"/>
        </w:rPr>
        <w:t>水电机组</w:t>
      </w:r>
      <w:r>
        <w:rPr>
          <w:rFonts w:hint="eastAsia"/>
        </w:rPr>
        <w:t>风险隐患的概率。</w:t>
      </w:r>
    </w:p>
    <w:p w14:paraId="2BE19EC6">
      <w:pPr>
        <w:pStyle w:val="11"/>
        <w:spacing w:line="480" w:lineRule="atLeast"/>
        <w:ind w:firstLine="560" w:firstLineChars="200"/>
      </w:pPr>
      <w:r>
        <w:rPr>
          <w:rFonts w:hint="eastAsia"/>
        </w:rPr>
        <w:t>需要说明的是，</w:t>
      </w:r>
      <w:r>
        <w:t>对于方法实施例，为了简单描述，故将其都表述为一系列的动作组合，但是本领域技术人员应该知悉，本发明实施例并不受所描述的动作顺序的限制，因为依据本发明实施例，某些步骤可以采用其他顺序或者同时进行。其次，本领域技术人员也应该知悉，说明书中所描述的实施例均属于优选实施例，所涉及的动作并不一定是本发明实施例所必须的。</w:t>
      </w:r>
    </w:p>
    <w:p w14:paraId="0994E7F3">
      <w:pPr>
        <w:pStyle w:val="11"/>
        <w:spacing w:line="480" w:lineRule="atLeast"/>
        <w:ind w:firstLine="560" w:firstLineChars="200"/>
      </w:pPr>
      <w:r>
        <w:rPr>
          <w:rFonts w:hint="eastAsia"/>
        </w:rPr>
        <w:t>在本具体实施例与上述具体实施例中有重复的操作步骤，本具体实施例仅做简单描述，其余方案参考上述具体实施例描述即可。</w:t>
      </w:r>
    </w:p>
    <w:p w14:paraId="30931CD6">
      <w:pPr>
        <w:pStyle w:val="11"/>
        <w:spacing w:line="480" w:lineRule="atLeast"/>
        <w:ind w:firstLine="560" w:firstLineChars="200"/>
      </w:pPr>
      <w:r>
        <w:t>对于</w:t>
      </w:r>
      <w:r>
        <w:rPr>
          <w:rFonts w:hint="eastAsia"/>
        </w:rPr>
        <w:t>系统</w:t>
      </w:r>
      <w:r>
        <w:t>实施例而言，由于其与方法实施例基本相似，所以描述的比较简单，相关之处参见方法实施例的部分说明即可。</w:t>
      </w:r>
    </w:p>
    <w:p w14:paraId="16C60321">
      <w:pPr>
        <w:pStyle w:val="11"/>
        <w:ind w:firstLine="560" w:firstLineChars="200"/>
      </w:pPr>
      <w:r>
        <w:t>参照</w:t>
      </w:r>
      <w:r>
        <w:rPr>
          <w:rFonts w:hint="eastAsia"/>
        </w:rPr>
        <w:t>图3</w:t>
      </w:r>
      <w:r>
        <w:t>，示出了本申请的一种</w:t>
      </w:r>
      <w:r>
        <w:rPr>
          <w:rFonts w:hint="eastAsia"/>
        </w:rPr>
        <w:t>基于水电机组的风险预测方法</w:t>
      </w:r>
      <w:r>
        <w:t>的计算机设备，具体可以包括如下：</w:t>
      </w:r>
    </w:p>
    <w:p w14:paraId="4572C41B">
      <w:pPr>
        <w:pStyle w:val="11"/>
        <w:spacing w:line="480" w:lineRule="atLeast"/>
        <w:ind w:firstLine="560" w:firstLineChars="200"/>
      </w:pPr>
      <w:r>
        <w:t>上述计算机设备12以通用计算设备的形式表现，计算机设备12的组件可以包括但不限于：一个或者多个处理器或者处理单元16，内存28，连接不同系统组件（包括内存28和处理单元16）的总线18。</w:t>
      </w:r>
    </w:p>
    <w:p w14:paraId="5EDA25B6">
      <w:pPr>
        <w:pStyle w:val="11"/>
        <w:spacing w:line="480" w:lineRule="atLeast"/>
        <w:ind w:firstLine="560" w:firstLineChars="200"/>
      </w:pPr>
      <w:r>
        <w:t>总线18表示几类总线结构中的一种或多种，包括存储器总线或者存储器控制器，外围总线，图形加速端口，处理器或者使用多种总线结构中的任意总线结构的局域总线。举例来说，这些体系结构包括但不限于工业标准体系结构（ISA）总线，微通道体系结构（MAC）总线，增强型ISA总线、音视频电子标准协会（VESA）局域总线以及外围组件互连（PCI）总线。</w:t>
      </w:r>
    </w:p>
    <w:p w14:paraId="71E59227">
      <w:pPr>
        <w:pStyle w:val="11"/>
        <w:spacing w:line="480" w:lineRule="atLeast"/>
        <w:ind w:firstLine="560" w:firstLineChars="200"/>
      </w:pPr>
      <w:r>
        <w:t>计算机设备12典型地包括多种计算机系统可读介质。这些介质可以是任何能够被计算机设备12访问的可用介质，包括易失性和非易失性介质，可移动的和不可移动的介质。</w:t>
      </w:r>
    </w:p>
    <w:p w14:paraId="0F24D69C">
      <w:pPr>
        <w:pStyle w:val="11"/>
        <w:spacing w:line="480" w:lineRule="atLeast"/>
        <w:ind w:firstLine="560" w:firstLineChars="200"/>
      </w:pPr>
      <w:r>
        <w:t>内存28可以包括易失性存储器形式的计算机系统可读介质，例如随机存取存储器30和/或高速缓存存储器32。计算机设备12可以进一步包括其他移动/不可移动的、易失性/非易失性计算</w:t>
      </w:r>
      <w:r>
        <w:rPr>
          <w:rFonts w:hint="eastAsia"/>
        </w:rPr>
        <w:t>机系统</w:t>
      </w:r>
      <w:r>
        <w:t>存储介质。仅作为举例，存储系统34可以用于读写不可移动的、非易失性磁介质（通常称为“硬盘驱动器”）。尽管</w:t>
      </w:r>
      <w:r>
        <w:rPr>
          <w:rFonts w:hint="eastAsia"/>
        </w:rPr>
        <w:t>图3</w:t>
      </w:r>
      <w:r>
        <w:t>中未示出，可以提供用于对可移动非易失性磁盘（如“软盘”）读写的磁盘驱动器，以及对可移动非易失性光盘（例如CD-ROM，DVD-ROM或者其他光介质）读写的光盘驱动器。在这些情况下，每个驱动器可以通过一个或者多个数据介质界面与总线18相连。存储器可以包括至少一个程序产品，该程序产品具有一组（例如至少一个）程序模块42，这些程序模块42被配置以执行本申请各实施例的功能。</w:t>
      </w:r>
    </w:p>
    <w:p w14:paraId="1349DCA4">
      <w:pPr>
        <w:pStyle w:val="11"/>
        <w:spacing w:line="480" w:lineRule="atLeast"/>
        <w:ind w:firstLine="560" w:firstLineChars="200"/>
      </w:pPr>
      <w:r>
        <w:t>具有一组（至少一个）程序模块42的程序/实用工具40，可以存储在例如存储器中，这样的程序模块42包括但不限于操作系统、一个或者多个应用程序、其他程序模块42以及程序数据，这些示例中的每一个或某种组合中可能包括网络环境的实现。程序模块42通常执行本申请所描述的实施例中的功能和/或方法。</w:t>
      </w:r>
    </w:p>
    <w:p w14:paraId="13A23B60">
      <w:pPr>
        <w:pStyle w:val="11"/>
        <w:spacing w:line="480" w:lineRule="atLeast"/>
        <w:ind w:firstLine="560" w:firstLineChars="200"/>
      </w:pPr>
      <w:r>
        <w:t>计算机设备12也可以与一个或多个外部设备14（例如键盘、指向设备、显示器24、摄像头等）通信，还可与一个或者多个使得操作人员能与该计算机设备12交互的设备通信，和/或与使得该计算机设备12能与一个或多个其他计算设备进行通信的任何设备（例如网卡，调制解调器等等）通信。这种通信可以通过I/O接口22进行。并且，计算机设备12还可以通过网络适配器20与一个或者多个网络（例如局域网（LAN）），广域网（WAN）和/或公共网络（例如因特网）通信。如</w:t>
      </w:r>
      <w:r>
        <w:rPr>
          <w:rFonts w:hint="eastAsia"/>
        </w:rPr>
        <w:t>图3</w:t>
      </w:r>
      <w:r>
        <w:t>所示，网络适配器20通过总线18与计算机设备12的其他模块通信。应当明白，尽管</w:t>
      </w:r>
      <w:r>
        <w:rPr>
          <w:rFonts w:hint="eastAsia"/>
        </w:rPr>
        <w:t>图3</w:t>
      </w:r>
      <w:r>
        <w:t>中未示出，可以结合计算机设备12使用其他硬件和/或软件模块，包括但不限于：微代码、设备驱动器、冗余处理单元16、外部磁盘驱动阵列、RAID系统、磁带驱动器以及数据备份存储系统34等。</w:t>
      </w:r>
    </w:p>
    <w:p w14:paraId="51CC8367">
      <w:pPr>
        <w:pStyle w:val="11"/>
        <w:spacing w:line="480" w:lineRule="atLeast"/>
        <w:ind w:firstLine="560" w:firstLineChars="200"/>
      </w:pPr>
      <w:r>
        <w:t>处理单元16通过运行存储在内存28中的程序，执行各种功能应用以及数据处理，例如实现本申请实施例所提供的一种</w:t>
      </w:r>
      <w:r>
        <w:rPr>
          <w:rFonts w:hint="eastAsia"/>
        </w:rPr>
        <w:t>基于水电机组的风险预测方法</w:t>
      </w:r>
      <w:r>
        <w:t>。</w:t>
      </w:r>
    </w:p>
    <w:p w14:paraId="2DD9E2BB">
      <w:pPr>
        <w:pStyle w:val="11"/>
        <w:ind w:firstLine="560" w:firstLineChars="200"/>
      </w:pPr>
      <w:r>
        <w:t>也即，上述处理单元16执行上述程序时实现：</w:t>
      </w:r>
      <w:bookmarkStart w:id="1" w:name="OLE_LINK2"/>
      <w:r>
        <w:rPr>
          <w:rFonts w:hint="eastAsia"/>
        </w:rPr>
        <w:t>获取水电机组的运行数据，并依据所述运行数据进行处理得到局部异常度和整体健康度；依据所述局部异常度和所述整体健康度得到水电机组风险隐患的概率。</w:t>
      </w:r>
    </w:p>
    <w:bookmarkEnd w:id="1"/>
    <w:p w14:paraId="1ADBF162">
      <w:pPr>
        <w:pStyle w:val="11"/>
        <w:spacing w:line="480" w:lineRule="atLeast"/>
        <w:ind w:firstLine="560" w:firstLineChars="200"/>
      </w:pPr>
      <w:r>
        <w:t>在本申请实施例中，本申请还提供一种计算机可读存储介质，其上存储有计算机程序，该程序被处理器执行时实现如本申请所有实施例提供的</w:t>
      </w:r>
      <w:r>
        <w:rPr>
          <w:rFonts w:hint="eastAsia"/>
        </w:rPr>
        <w:t>一种基于水电机组的风险预测方法。</w:t>
      </w:r>
    </w:p>
    <w:p w14:paraId="02C80117">
      <w:pPr>
        <w:pStyle w:val="11"/>
        <w:ind w:firstLine="560" w:firstLineChars="200"/>
      </w:pPr>
      <w:r>
        <w:t>也即，给程序被处理器执行时实现：</w:t>
      </w:r>
      <w:r>
        <w:rPr>
          <w:rFonts w:hint="eastAsia"/>
        </w:rPr>
        <w:t>获取水电机组的运行数据，并依据所述运行数据进行处理得到局部异常度和整体健康度；依据所述局部异常度和所述整体健康度得到水电机组风险隐患的概率。</w:t>
      </w:r>
    </w:p>
    <w:p w14:paraId="4DDE8394">
      <w:pPr>
        <w:pStyle w:val="11"/>
        <w:spacing w:line="480" w:lineRule="atLeast"/>
        <w:ind w:firstLine="560" w:firstLineChars="200"/>
      </w:pPr>
      <w:r>
        <w:t>可以采用一个或多个计算机可读的介质的任意组合。计算机可读介质可以是计算机</w:t>
      </w:r>
      <w:r>
        <w:rPr>
          <w:rFonts w:hint="eastAsia"/>
        </w:rPr>
        <w:t>可读</w:t>
      </w:r>
      <w:r>
        <w:t>信号介质或者计算机可读存储介质。计算机可读存储介质例如可以是但不限于电、磁、光、电磁、红外线或半导体的系统、</w:t>
      </w:r>
      <w:r>
        <w:rPr>
          <w:rFonts w:hint="eastAsia"/>
        </w:rPr>
        <w:t>系统</w:t>
      </w:r>
      <w:r>
        <w:t>或器件，或者任意以上的组合。计算机可读存储介质的更具体的例子（非穷举的列表）包括：具有一个或多个导线的电连接、便携式计算机磁盘、硬盘、随机存取存储器（RAM）、只读存储器（ROM）、可擦可编程只读存储器（EP</w:t>
      </w:r>
      <w:r>
        <w:rPr>
          <w:rFonts w:hint="eastAsia"/>
        </w:rPr>
        <w:t>R</w:t>
      </w:r>
      <w:r>
        <w:t>OM或闪存）、光纤、便携式紧凑磁盘只读存储器（CD-ROM）、光存储器件、磁存储器件或者上述的任意合适的组合。在本文件中，计算机可读存储介质可以是任何包含或存储程序的有形介质，该程序可以被指令执行系统、</w:t>
      </w:r>
      <w:r>
        <w:rPr>
          <w:rFonts w:hint="eastAsia"/>
        </w:rPr>
        <w:t>系统</w:t>
      </w:r>
      <w:r>
        <w:t>或者器件使用或者与其结合使用。</w:t>
      </w:r>
    </w:p>
    <w:p w14:paraId="6C6AB5C2">
      <w:pPr>
        <w:pStyle w:val="11"/>
        <w:spacing w:line="480" w:lineRule="atLeast"/>
        <w:ind w:firstLine="560" w:firstLineChars="200"/>
      </w:pPr>
      <w:r>
        <w:t>计算机可读的信号介质可以包括在基带中或者作为载波一部分传播的数据信号，其中承载了计算机可读的程序代码。这种传播的数据信号可以采用多种形式，包括但不限于电磁信号、光信号或上述的任意合适的组合。计算机可读的信号介质还可以是计算机可读存储介质以外的任何计算机可读介质，该计算机可读介质可以发送、传播或者传输用于由指令执行系统、</w:t>
      </w:r>
      <w:r>
        <w:rPr>
          <w:rFonts w:hint="eastAsia"/>
        </w:rPr>
        <w:t>系统</w:t>
      </w:r>
      <w:r>
        <w:t>或者器件使用或者与其结合使用的程序。</w:t>
      </w:r>
    </w:p>
    <w:p w14:paraId="54CBC105">
      <w:pPr>
        <w:pStyle w:val="11"/>
        <w:spacing w:line="480" w:lineRule="atLeast"/>
        <w:ind w:firstLine="560" w:firstLineChars="200"/>
      </w:pPr>
      <w:r>
        <w:t>可以以一种或多种程序设计语言或其组合来编写用于执行本申请操作的计算机程序代码，上述程序设计语言包括面向对象的程序设计语言</w:t>
      </w:r>
      <w:r>
        <w:rPr>
          <w:rFonts w:hint="eastAsia"/>
        </w:rPr>
        <w:t>（</w:t>
      </w:r>
      <w:r>
        <w:t>诸如Java、Smalltalk、C++</w:t>
      </w:r>
      <w:r>
        <w:rPr>
          <w:rFonts w:hint="eastAsia"/>
        </w:rPr>
        <w:t>）和</w:t>
      </w:r>
      <w:r>
        <w:t>常规的过程式程序设计语言</w:t>
      </w:r>
      <w:r>
        <w:rPr>
          <w:rFonts w:hint="eastAsia"/>
        </w:rPr>
        <w:t>（</w:t>
      </w:r>
      <w:r>
        <w:t>诸如“C”语言或类似的程序设计语言</w:t>
      </w:r>
      <w:r>
        <w:rPr>
          <w:rFonts w:hint="eastAsia"/>
        </w:rPr>
        <w:t>）</w:t>
      </w:r>
      <w:r>
        <w:t>。程序代码可以完全地在操作人员计算机上执行、部分地在操作人员计算机上执行、作为一个独立的软件包执行、部分在操作人员计算机上部分在远程计算机上执行或者完全在远程计算机或者服务器上执行。在涉及远程计算机的情形中，远程计算机可以通过任意种类的网络——包括局域网（LAN）或广域网（WAN）——连接到操作人员计算机，或者，可以连接到外部计算机（例如利用因特网服务提供商来通过因特网连接）。本说明书中的各个实施例均采用递进的方式描述，每个实施例重点说明的都是与其他实施例的不同之处，各个实施例之间相同相似的部分互相参见即可。</w:t>
      </w:r>
    </w:p>
    <w:p w14:paraId="27B8CC3D">
      <w:pPr>
        <w:pStyle w:val="11"/>
        <w:spacing w:line="480" w:lineRule="atLeast"/>
        <w:ind w:firstLine="560" w:firstLineChars="200"/>
      </w:pPr>
      <w:r>
        <w:t>尽管已描述了本申请实施例的优选实施例，但本领域内的技术人员一旦得知了基本创造性概念，则可对这些实施例做出另外的变更和修改。所以，所附权利要求意欲解释为包括优选实施例以及落入本申请实施例范围的所有变更和修改。最后，还需要说明的是，在本文中，诸如第一和第二等之类的关系术语仅仅用来将一个实体或者操作与另一个实体或操作区分开来，而不一定要求或者暗示这些实体或操作之间存在任何这种实际的关系或者顺序。而且，术语</w:t>
      </w:r>
      <w:r>
        <w:rPr>
          <w:rFonts w:hint="eastAsia"/>
        </w:rPr>
        <w:t>“</w:t>
      </w:r>
      <w:r>
        <w:t>包括</w:t>
      </w:r>
      <w:r>
        <w:rPr>
          <w:rFonts w:hint="eastAsia"/>
        </w:rPr>
        <w:t>”“</w:t>
      </w:r>
      <w:r>
        <w:t>包含</w:t>
      </w:r>
      <w:r>
        <w:rPr>
          <w:rFonts w:hint="eastAsia"/>
        </w:rPr>
        <w:t>”</w:t>
      </w:r>
      <w:r>
        <w:t>或者其任何其他变体意在涵盖非排他性的包含，从而使得包括一系列要素的过程、方法、物品或者终端设备不仅包括那些要素，而且还包括没有明确列出的其他要素，或者是还包括为这种过程、方法、物品或者终端设备所固有的要素。在没有更多限制的情况下，由语句</w:t>
      </w:r>
      <w:r>
        <w:rPr>
          <w:rFonts w:hint="eastAsia"/>
        </w:rPr>
        <w:t>“</w:t>
      </w:r>
      <w:r>
        <w:t>包括一个……</w:t>
      </w:r>
      <w:r>
        <w:rPr>
          <w:rFonts w:hint="eastAsia"/>
        </w:rPr>
        <w:t>”</w:t>
      </w:r>
      <w:r>
        <w:t>限定的要素，并不排除在包括所述要素的过程、方法、物品或者终端设备中还存在另外的相同要素。</w:t>
      </w:r>
    </w:p>
    <w:p w14:paraId="4867710F">
      <w:pPr>
        <w:pStyle w:val="11"/>
        <w:spacing w:line="480" w:lineRule="atLeast"/>
        <w:ind w:firstLine="560" w:firstLineChars="200"/>
        <w:sectPr>
          <w:headerReference r:id="rId13" w:type="first"/>
          <w:footerReference r:id="rId15" w:type="first"/>
          <w:headerReference r:id="rId12" w:type="default"/>
          <w:footerReference r:id="rId14" w:type="default"/>
          <w:pgSz w:w="11906" w:h="16838"/>
          <w:pgMar w:top="1701" w:right="1191" w:bottom="1418" w:left="1531" w:header="851" w:footer="567" w:gutter="0"/>
          <w:lnNumType w:countBy="5"/>
          <w:pgNumType w:start="1"/>
          <w:cols w:space="720" w:num="1"/>
          <w:titlePg/>
          <w:docGrid w:type="lines" w:linePitch="500" w:charSpace="0"/>
        </w:sectPr>
      </w:pPr>
      <w:r>
        <w:t>以上对本申请所提供的一种</w:t>
      </w:r>
      <w:r>
        <w:rPr>
          <w:rFonts w:hint="eastAsia"/>
        </w:rPr>
        <w:t>基于水电机组的风险预测方法</w:t>
      </w:r>
      <w:r>
        <w:t>及</w:t>
      </w:r>
      <w:r>
        <w:rPr>
          <w:rFonts w:hint="eastAsia"/>
        </w:rPr>
        <w:t>系统</w:t>
      </w:r>
      <w:r>
        <w:t>，进行了详细介绍，本文中应用了具体个例对本申请的原理及实施方式进行了阐述，以上实施例的说明只是用于帮助理解本申请的方法及其核心思想；同时，对于本领域的一般技术人员，依据本申请的思想，在具体实施方式及应用范围上均会有改变之处，本说明书内容不应理解为对本申请的限制。</w:t>
      </w:r>
    </w:p>
    <w:p w14:paraId="03451F4C">
      <w:pPr>
        <w:pStyle w:val="11"/>
        <w:spacing w:line="360" w:lineRule="auto"/>
        <w:ind w:firstLine="0"/>
        <w:jc w:val="center"/>
        <w:rPr>
          <w:sz w:val="22"/>
          <w:szCs w:val="22"/>
        </w:rPr>
      </w:pPr>
      <w:r>
        <w:drawing>
          <wp:inline distT="0" distB="0" distL="114300" distR="114300">
            <wp:extent cx="4733925" cy="1905000"/>
            <wp:effectExtent l="0" t="0" r="9525"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20"/>
                    <a:stretch>
                      <a:fillRect/>
                    </a:stretch>
                  </pic:blipFill>
                  <pic:spPr>
                    <a:xfrm>
                      <a:off x="0" y="0"/>
                      <a:ext cx="4733925" cy="1905000"/>
                    </a:xfrm>
                    <a:prstGeom prst="rect">
                      <a:avLst/>
                    </a:prstGeom>
                    <a:noFill/>
                    <a:ln>
                      <a:noFill/>
                    </a:ln>
                  </pic:spPr>
                </pic:pic>
              </a:graphicData>
            </a:graphic>
          </wp:inline>
        </w:drawing>
      </w:r>
    </w:p>
    <w:p w14:paraId="0DCE475B">
      <w:pPr>
        <w:pStyle w:val="11"/>
        <w:spacing w:line="360" w:lineRule="auto"/>
        <w:ind w:firstLine="0"/>
        <w:jc w:val="center"/>
        <w:rPr>
          <w:color w:val="auto"/>
        </w:rPr>
      </w:pPr>
      <w:r>
        <w:rPr>
          <w:color w:val="auto"/>
        </w:rPr>
        <w:t>图1</w:t>
      </w:r>
    </w:p>
    <w:p w14:paraId="3D943000">
      <w:pPr>
        <w:pStyle w:val="11"/>
        <w:spacing w:line="360" w:lineRule="auto"/>
        <w:ind w:firstLine="0"/>
        <w:jc w:val="center"/>
      </w:pPr>
      <w:r>
        <w:drawing>
          <wp:inline distT="0" distB="0" distL="114300" distR="114300">
            <wp:extent cx="3238500" cy="2438400"/>
            <wp:effectExtent l="0" t="0" r="0" b="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a:blip r:embed="rId28"/>
                    <a:stretch>
                      <a:fillRect/>
                    </a:stretch>
                  </pic:blipFill>
                  <pic:spPr>
                    <a:xfrm>
                      <a:off x="0" y="0"/>
                      <a:ext cx="3238500" cy="2438400"/>
                    </a:xfrm>
                    <a:prstGeom prst="rect">
                      <a:avLst/>
                    </a:prstGeom>
                    <a:noFill/>
                    <a:ln>
                      <a:noFill/>
                    </a:ln>
                  </pic:spPr>
                </pic:pic>
              </a:graphicData>
            </a:graphic>
          </wp:inline>
        </w:drawing>
      </w:r>
    </w:p>
    <w:p w14:paraId="7902347B">
      <w:pPr>
        <w:pStyle w:val="11"/>
        <w:spacing w:line="360" w:lineRule="auto"/>
        <w:ind w:firstLine="0"/>
        <w:jc w:val="center"/>
      </w:pPr>
      <w:r>
        <w:rPr>
          <w:rFonts w:hint="eastAsia"/>
        </w:rPr>
        <w:t>图2</w:t>
      </w:r>
    </w:p>
    <w:p w14:paraId="64A453A2">
      <w:pPr>
        <w:pStyle w:val="11"/>
        <w:spacing w:line="360" w:lineRule="auto"/>
        <w:ind w:firstLine="0"/>
        <w:jc w:val="center"/>
      </w:pPr>
      <w:r>
        <w:rPr>
          <w:rFonts w:hint="eastAsia" w:eastAsia="宋体"/>
        </w:rPr>
        <w:drawing>
          <wp:inline distT="0" distB="0" distL="114300" distR="114300">
            <wp:extent cx="3604260" cy="3016250"/>
            <wp:effectExtent l="0" t="0" r="15240" b="12700"/>
            <wp:docPr id="2"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绘图1"/>
                    <pic:cNvPicPr>
                      <a:picLocks noChangeAspect="1"/>
                    </pic:cNvPicPr>
                  </pic:nvPicPr>
                  <pic:blipFill>
                    <a:blip r:embed="rId29" cstate="print"/>
                    <a:stretch>
                      <a:fillRect/>
                    </a:stretch>
                  </pic:blipFill>
                  <pic:spPr>
                    <a:xfrm>
                      <a:off x="0" y="0"/>
                      <a:ext cx="3604260" cy="3016250"/>
                    </a:xfrm>
                    <a:prstGeom prst="rect">
                      <a:avLst/>
                    </a:prstGeom>
                    <a:noFill/>
                    <a:ln>
                      <a:noFill/>
                    </a:ln>
                  </pic:spPr>
                </pic:pic>
              </a:graphicData>
            </a:graphic>
          </wp:inline>
        </w:drawing>
      </w:r>
    </w:p>
    <w:p w14:paraId="0F295EEC">
      <w:pPr>
        <w:pStyle w:val="11"/>
        <w:spacing w:line="360" w:lineRule="auto"/>
        <w:ind w:firstLine="0"/>
        <w:jc w:val="center"/>
        <w:rPr>
          <w:color w:val="auto"/>
        </w:rPr>
      </w:pPr>
      <w:r>
        <w:rPr>
          <w:rFonts w:hint="eastAsia"/>
          <w:color w:val="auto"/>
        </w:rPr>
        <w:t>图3</w:t>
      </w:r>
    </w:p>
    <w:p w14:paraId="412B3AE2">
      <w:pPr>
        <w:pStyle w:val="11"/>
        <w:spacing w:line="360" w:lineRule="auto"/>
        <w:ind w:firstLine="0"/>
        <w:jc w:val="center"/>
        <w:rPr>
          <w:rFonts w:ascii="宋体" w:hAnsi="宋体" w:cs="宋体"/>
          <w:spacing w:val="16384"/>
          <w:szCs w:val="28"/>
        </w:rPr>
      </w:pPr>
      <w:r>
        <w:rPr>
          <w:rFonts w:hint="eastAsia"/>
          <w:color w:val="auto"/>
        </w:rPr>
        <w:drawing>
          <wp:inline distT="0" distB="0" distL="114300" distR="114300">
            <wp:extent cx="5403215" cy="2936875"/>
            <wp:effectExtent l="0" t="0" r="6985" b="15875"/>
            <wp:docPr id="8" name="图片 8" descr="169994159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99941593401"/>
                    <pic:cNvPicPr>
                      <a:picLocks noChangeAspect="1"/>
                    </pic:cNvPicPr>
                  </pic:nvPicPr>
                  <pic:blipFill>
                    <a:blip r:embed="rId30"/>
                    <a:stretch>
                      <a:fillRect/>
                    </a:stretch>
                  </pic:blipFill>
                  <pic:spPr>
                    <a:xfrm>
                      <a:off x="0" y="0"/>
                      <a:ext cx="5403215" cy="2936875"/>
                    </a:xfrm>
                    <a:prstGeom prst="rect">
                      <a:avLst/>
                    </a:prstGeom>
                  </pic:spPr>
                </pic:pic>
              </a:graphicData>
            </a:graphic>
          </wp:inline>
        </w:drawing>
      </w:r>
    </w:p>
    <w:p w14:paraId="327EBDF4">
      <w:pPr>
        <w:pStyle w:val="11"/>
        <w:ind w:firstLine="0"/>
        <w:jc w:val="center"/>
        <w:rPr>
          <w:color w:val="auto"/>
        </w:rPr>
      </w:pPr>
      <w:r>
        <w:rPr>
          <w:rFonts w:hint="eastAsia"/>
          <w:color w:val="auto"/>
        </w:rPr>
        <w:t>图4</w:t>
      </w:r>
    </w:p>
    <w:p w14:paraId="434A08EA">
      <w:pPr>
        <w:pStyle w:val="11"/>
        <w:spacing w:line="360" w:lineRule="auto"/>
        <w:ind w:firstLine="0"/>
        <w:jc w:val="center"/>
        <w:rPr>
          <w:rFonts w:ascii="宋体" w:hAnsi="宋体" w:cs="宋体"/>
          <w:spacing w:val="16384"/>
          <w:szCs w:val="28"/>
        </w:rPr>
      </w:pPr>
      <w:r>
        <w:rPr>
          <w:rFonts w:hint="eastAsia"/>
          <w:color w:val="auto"/>
        </w:rPr>
        <w:drawing>
          <wp:inline distT="0" distB="0" distL="114300" distR="114300">
            <wp:extent cx="5358765" cy="4820285"/>
            <wp:effectExtent l="0" t="0" r="13335" b="18415"/>
            <wp:docPr id="9" name="图片 9" descr="5f9944d2c52171aee648394a145e91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f9944d2c52171aee648394a145e91b4"/>
                    <pic:cNvPicPr>
                      <a:picLocks noChangeAspect="1"/>
                    </pic:cNvPicPr>
                  </pic:nvPicPr>
                  <pic:blipFill>
                    <a:blip r:embed="rId31"/>
                    <a:stretch>
                      <a:fillRect/>
                    </a:stretch>
                  </pic:blipFill>
                  <pic:spPr>
                    <a:xfrm>
                      <a:off x="0" y="0"/>
                      <a:ext cx="5358765" cy="4820285"/>
                    </a:xfrm>
                    <a:prstGeom prst="rect">
                      <a:avLst/>
                    </a:prstGeom>
                  </pic:spPr>
                </pic:pic>
              </a:graphicData>
            </a:graphic>
          </wp:inline>
        </w:drawing>
      </w:r>
    </w:p>
    <w:p w14:paraId="0A44D998">
      <w:pPr>
        <w:pStyle w:val="11"/>
        <w:spacing w:line="360" w:lineRule="auto"/>
        <w:ind w:firstLine="0"/>
        <w:jc w:val="center"/>
        <w:rPr>
          <w:color w:val="auto"/>
        </w:rPr>
      </w:pPr>
      <w:r>
        <w:rPr>
          <w:rFonts w:hint="eastAsia"/>
          <w:color w:val="auto"/>
        </w:rPr>
        <w:t>图5</w:t>
      </w:r>
    </w:p>
    <w:p w14:paraId="0E5C54DE">
      <w:pPr>
        <w:pStyle w:val="11"/>
        <w:spacing w:line="360" w:lineRule="auto"/>
        <w:ind w:firstLine="0"/>
        <w:jc w:val="center"/>
        <w:rPr>
          <w:color w:val="auto"/>
        </w:rPr>
      </w:pPr>
      <w:r>
        <w:rPr>
          <w:rFonts w:hint="eastAsia"/>
          <w:color w:val="auto"/>
        </w:rPr>
        <w:drawing>
          <wp:inline distT="0" distB="0" distL="114300" distR="114300">
            <wp:extent cx="5278120" cy="4016375"/>
            <wp:effectExtent l="0" t="0" r="17780" b="3175"/>
            <wp:docPr id="1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pic:cNvPicPr>
                      <a:picLocks noChangeAspect="1"/>
                    </pic:cNvPicPr>
                  </pic:nvPicPr>
                  <pic:blipFill>
                    <a:blip r:embed="rId32"/>
                    <a:stretch>
                      <a:fillRect/>
                    </a:stretch>
                  </pic:blipFill>
                  <pic:spPr>
                    <a:xfrm>
                      <a:off x="0" y="0"/>
                      <a:ext cx="5278120" cy="4016375"/>
                    </a:xfrm>
                    <a:prstGeom prst="rect">
                      <a:avLst/>
                    </a:prstGeom>
                    <a:noFill/>
                    <a:ln>
                      <a:noFill/>
                    </a:ln>
                  </pic:spPr>
                </pic:pic>
              </a:graphicData>
            </a:graphic>
          </wp:inline>
        </w:drawing>
      </w:r>
    </w:p>
    <w:p w14:paraId="0730886B">
      <w:pPr>
        <w:pStyle w:val="11"/>
        <w:spacing w:line="360" w:lineRule="auto"/>
        <w:ind w:firstLine="0"/>
        <w:jc w:val="center"/>
        <w:rPr>
          <w:color w:val="auto"/>
        </w:rPr>
      </w:pPr>
      <w:r>
        <w:rPr>
          <w:rFonts w:hint="eastAsia"/>
          <w:color w:val="auto"/>
        </w:rPr>
        <w:t>图6</w:t>
      </w:r>
    </w:p>
    <w:p w14:paraId="6BEE1416">
      <w:pPr>
        <w:pStyle w:val="11"/>
        <w:spacing w:line="360" w:lineRule="auto"/>
        <w:ind w:firstLine="0"/>
        <w:jc w:val="center"/>
        <w:rPr>
          <w:color w:val="auto"/>
        </w:rPr>
      </w:pPr>
      <w:r>
        <w:rPr>
          <w:rFonts w:hint="eastAsia"/>
        </w:rPr>
        <w:drawing>
          <wp:inline distT="0" distB="0" distL="114300" distR="114300">
            <wp:extent cx="1983105" cy="1889760"/>
            <wp:effectExtent l="0" t="0" r="17145" b="152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3"/>
                    <a:stretch>
                      <a:fillRect/>
                    </a:stretch>
                  </pic:blipFill>
                  <pic:spPr>
                    <a:xfrm>
                      <a:off x="0" y="0"/>
                      <a:ext cx="1983105" cy="1889760"/>
                    </a:xfrm>
                    <a:prstGeom prst="rect">
                      <a:avLst/>
                    </a:prstGeom>
                    <a:noFill/>
                    <a:ln>
                      <a:noFill/>
                    </a:ln>
                  </pic:spPr>
                </pic:pic>
              </a:graphicData>
            </a:graphic>
          </wp:inline>
        </w:drawing>
      </w:r>
    </w:p>
    <w:p w14:paraId="27857812">
      <w:pPr>
        <w:pStyle w:val="11"/>
        <w:spacing w:line="360" w:lineRule="auto"/>
        <w:ind w:firstLine="0"/>
        <w:jc w:val="center"/>
        <w:rPr>
          <w:color w:val="auto"/>
        </w:rPr>
      </w:pPr>
      <w:r>
        <w:rPr>
          <w:rFonts w:hint="eastAsia"/>
          <w:color w:val="auto"/>
        </w:rPr>
        <w:t>图7</w:t>
      </w:r>
    </w:p>
    <w:p w14:paraId="465C098E">
      <w:pPr>
        <w:pStyle w:val="11"/>
        <w:spacing w:line="360" w:lineRule="auto"/>
        <w:ind w:firstLine="0"/>
        <w:jc w:val="center"/>
        <w:rPr>
          <w:color w:val="auto"/>
        </w:rPr>
      </w:pPr>
      <w:r>
        <w:rPr>
          <w:rFonts w:hint="eastAsia"/>
        </w:rPr>
        <w:drawing>
          <wp:inline distT="0" distB="0" distL="114300" distR="114300">
            <wp:extent cx="3877310" cy="1123950"/>
            <wp:effectExtent l="0" t="0" r="8890" b="0"/>
            <wp:docPr id="4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9"/>
                    <pic:cNvPicPr>
                      <a:picLocks noChangeAspect="1"/>
                    </pic:cNvPicPr>
                  </pic:nvPicPr>
                  <pic:blipFill>
                    <a:blip r:embed="rId34"/>
                    <a:stretch>
                      <a:fillRect/>
                    </a:stretch>
                  </pic:blipFill>
                  <pic:spPr>
                    <a:xfrm>
                      <a:off x="0" y="0"/>
                      <a:ext cx="3877310" cy="1123950"/>
                    </a:xfrm>
                    <a:prstGeom prst="rect">
                      <a:avLst/>
                    </a:prstGeom>
                    <a:noFill/>
                    <a:ln>
                      <a:noFill/>
                    </a:ln>
                  </pic:spPr>
                </pic:pic>
              </a:graphicData>
            </a:graphic>
          </wp:inline>
        </w:drawing>
      </w:r>
    </w:p>
    <w:p w14:paraId="53E75D35">
      <w:pPr>
        <w:pStyle w:val="11"/>
        <w:spacing w:line="360" w:lineRule="auto"/>
        <w:ind w:firstLine="0"/>
        <w:jc w:val="center"/>
        <w:rPr>
          <w:color w:val="auto"/>
        </w:rPr>
      </w:pPr>
      <w:r>
        <w:rPr>
          <w:rFonts w:hint="eastAsia"/>
          <w:color w:val="auto"/>
        </w:rPr>
        <w:t>图8</w:t>
      </w:r>
    </w:p>
    <w:p w14:paraId="6DEFA52D">
      <w:pPr>
        <w:autoSpaceDE w:val="0"/>
        <w:autoSpaceDN w:val="0"/>
        <w:adjustRightInd w:val="0"/>
        <w:spacing w:line="360" w:lineRule="auto"/>
        <w:jc w:val="center"/>
        <w:rPr>
          <w:rFonts w:ascii="宋体" w:hAnsi="宋体" w:cs="宋体"/>
          <w:spacing w:val="16384"/>
          <w:kern w:val="0"/>
          <w:sz w:val="28"/>
          <w:szCs w:val="28"/>
        </w:rPr>
      </w:pPr>
      <w:r>
        <w:rPr>
          <w:rFonts w:hint="eastAsia" w:eastAsia="楷体_GB2312"/>
          <w:color w:val="000000"/>
          <w:sz w:val="28"/>
          <w:szCs w:val="20"/>
        </w:rPr>
        <w:drawing>
          <wp:inline distT="0" distB="0" distL="114300" distR="114300">
            <wp:extent cx="5269865" cy="3201035"/>
            <wp:effectExtent l="0" t="0" r="6985" b="18415"/>
            <wp:docPr id="4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10"/>
                    <pic:cNvPicPr>
                      <a:picLocks noChangeAspect="1"/>
                    </pic:cNvPicPr>
                  </pic:nvPicPr>
                  <pic:blipFill>
                    <a:blip r:embed="rId35"/>
                    <a:stretch>
                      <a:fillRect/>
                    </a:stretch>
                  </pic:blipFill>
                  <pic:spPr>
                    <a:xfrm>
                      <a:off x="0" y="0"/>
                      <a:ext cx="5269865" cy="3201035"/>
                    </a:xfrm>
                    <a:prstGeom prst="rect">
                      <a:avLst/>
                    </a:prstGeom>
                    <a:noFill/>
                    <a:ln>
                      <a:noFill/>
                    </a:ln>
                  </pic:spPr>
                </pic:pic>
              </a:graphicData>
            </a:graphic>
          </wp:inline>
        </w:drawing>
      </w:r>
    </w:p>
    <w:p w14:paraId="1DA090E8">
      <w:pPr>
        <w:pStyle w:val="11"/>
        <w:spacing w:line="360" w:lineRule="auto"/>
        <w:ind w:firstLine="0"/>
        <w:jc w:val="center"/>
        <w:rPr>
          <w:color w:val="auto"/>
        </w:rPr>
      </w:pPr>
      <w:r>
        <w:rPr>
          <w:rFonts w:hint="eastAsia"/>
          <w:color w:val="auto"/>
        </w:rPr>
        <w:t>图9</w:t>
      </w:r>
    </w:p>
    <w:p w14:paraId="33E3DAF1">
      <w:pPr>
        <w:pStyle w:val="11"/>
        <w:spacing w:line="360" w:lineRule="auto"/>
        <w:ind w:firstLine="0"/>
        <w:jc w:val="center"/>
        <w:rPr>
          <w:color w:val="auto"/>
        </w:rPr>
      </w:pPr>
      <w:r>
        <w:rPr>
          <w:rFonts w:hint="eastAsia"/>
        </w:rPr>
        <w:drawing>
          <wp:inline distT="0" distB="0" distL="114300" distR="114300">
            <wp:extent cx="3995420" cy="3196590"/>
            <wp:effectExtent l="0" t="0" r="5080" b="3810"/>
            <wp:docPr id="4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2"/>
                    <pic:cNvPicPr>
                      <a:picLocks noChangeAspect="1"/>
                    </pic:cNvPicPr>
                  </pic:nvPicPr>
                  <pic:blipFill>
                    <a:blip r:embed="rId36">
                      <a:alphaModFix amt="80000"/>
                    </a:blip>
                    <a:stretch>
                      <a:fillRect/>
                    </a:stretch>
                  </pic:blipFill>
                  <pic:spPr>
                    <a:xfrm>
                      <a:off x="0" y="0"/>
                      <a:ext cx="3995420" cy="3196590"/>
                    </a:xfrm>
                    <a:prstGeom prst="rect">
                      <a:avLst/>
                    </a:prstGeom>
                  </pic:spPr>
                </pic:pic>
              </a:graphicData>
            </a:graphic>
          </wp:inline>
        </w:drawing>
      </w:r>
    </w:p>
    <w:p w14:paraId="47530E0A">
      <w:pPr>
        <w:pStyle w:val="11"/>
        <w:spacing w:line="360" w:lineRule="auto"/>
        <w:ind w:firstLine="0"/>
        <w:jc w:val="center"/>
        <w:rPr>
          <w:color w:val="auto"/>
        </w:rPr>
      </w:pPr>
      <w:r>
        <w:rPr>
          <w:rFonts w:hint="eastAsia"/>
          <w:color w:val="auto"/>
        </w:rPr>
        <w:t>图10</w:t>
      </w:r>
    </w:p>
    <w:p w14:paraId="584E8234">
      <w:pPr>
        <w:autoSpaceDE w:val="0"/>
        <w:autoSpaceDN w:val="0"/>
        <w:adjustRightInd w:val="0"/>
        <w:spacing w:line="360" w:lineRule="auto"/>
        <w:ind w:firstLine="420" w:firstLineChars="200"/>
        <w:jc w:val="center"/>
        <w:rPr>
          <w:rFonts w:ascii="宋体" w:hAnsi="宋体" w:cs="宋体"/>
          <w:spacing w:val="16384"/>
          <w:kern w:val="0"/>
          <w:sz w:val="28"/>
          <w:szCs w:val="28"/>
        </w:rPr>
      </w:pPr>
      <w:r>
        <w:rPr>
          <w:rFonts w:hint="eastAsia"/>
        </w:rPr>
        <w:drawing>
          <wp:inline distT="0" distB="0" distL="114300" distR="114300">
            <wp:extent cx="4405630" cy="2820670"/>
            <wp:effectExtent l="0" t="0" r="13970" b="17780"/>
            <wp:docPr id="435" name="图片 435" descr="17000466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descr="1700046632706"/>
                    <pic:cNvPicPr>
                      <a:picLocks noChangeAspect="1"/>
                    </pic:cNvPicPr>
                  </pic:nvPicPr>
                  <pic:blipFill>
                    <a:blip r:embed="rId37"/>
                    <a:srcRect b="1267"/>
                    <a:stretch>
                      <a:fillRect/>
                    </a:stretch>
                  </pic:blipFill>
                  <pic:spPr>
                    <a:xfrm>
                      <a:off x="0" y="0"/>
                      <a:ext cx="4405630" cy="2820670"/>
                    </a:xfrm>
                    <a:prstGeom prst="rect">
                      <a:avLst/>
                    </a:prstGeom>
                  </pic:spPr>
                </pic:pic>
              </a:graphicData>
            </a:graphic>
          </wp:inline>
        </w:drawing>
      </w:r>
    </w:p>
    <w:p w14:paraId="56E5E64C">
      <w:pPr>
        <w:pStyle w:val="11"/>
        <w:spacing w:line="360" w:lineRule="auto"/>
        <w:ind w:firstLine="0"/>
        <w:jc w:val="center"/>
        <w:rPr>
          <w:color w:val="auto"/>
        </w:rPr>
      </w:pPr>
      <w:r>
        <w:rPr>
          <w:rFonts w:hint="eastAsia"/>
          <w:color w:val="auto"/>
        </w:rPr>
        <w:t>图11</w:t>
      </w:r>
    </w:p>
    <w:p w14:paraId="4CC0D08B">
      <w:pPr>
        <w:autoSpaceDE w:val="0"/>
        <w:autoSpaceDN w:val="0"/>
        <w:adjustRightInd w:val="0"/>
        <w:spacing w:line="360" w:lineRule="auto"/>
        <w:ind w:firstLine="420" w:firstLineChars="200"/>
        <w:jc w:val="center"/>
        <w:rPr>
          <w:rFonts w:ascii="宋体" w:hAnsi="宋体" w:cs="宋体"/>
          <w:spacing w:val="16384"/>
          <w:kern w:val="0"/>
          <w:sz w:val="28"/>
          <w:szCs w:val="28"/>
        </w:rPr>
      </w:pPr>
      <w:r>
        <w:rPr>
          <w:rFonts w:hint="eastAsia"/>
        </w:rPr>
        <w:drawing>
          <wp:inline distT="0" distB="0" distL="114300" distR="114300">
            <wp:extent cx="5610860" cy="2647315"/>
            <wp:effectExtent l="0" t="0" r="8890" b="635"/>
            <wp:docPr id="243" name="图片 243" descr="170772353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1707723536929"/>
                    <pic:cNvPicPr>
                      <a:picLocks noChangeAspect="1"/>
                    </pic:cNvPicPr>
                  </pic:nvPicPr>
                  <pic:blipFill>
                    <a:blip r:embed="rId38"/>
                    <a:stretch>
                      <a:fillRect/>
                    </a:stretch>
                  </pic:blipFill>
                  <pic:spPr>
                    <a:xfrm>
                      <a:off x="0" y="0"/>
                      <a:ext cx="5610860" cy="2647315"/>
                    </a:xfrm>
                    <a:prstGeom prst="rect">
                      <a:avLst/>
                    </a:prstGeom>
                  </pic:spPr>
                </pic:pic>
              </a:graphicData>
            </a:graphic>
          </wp:inline>
        </w:drawing>
      </w:r>
    </w:p>
    <w:p w14:paraId="1C0D43A8">
      <w:pPr>
        <w:pStyle w:val="11"/>
        <w:spacing w:line="360" w:lineRule="auto"/>
        <w:ind w:firstLine="3920" w:firstLineChars="1400"/>
        <w:rPr>
          <w:color w:val="auto"/>
        </w:rPr>
      </w:pPr>
      <w:r>
        <w:rPr>
          <w:rFonts w:hint="eastAsia"/>
          <w:color w:val="auto"/>
        </w:rPr>
        <w:t>图12</w:t>
      </w:r>
    </w:p>
    <w:p w14:paraId="43E951BB">
      <w:pPr>
        <w:tabs>
          <w:tab w:val="left" w:pos="6058"/>
        </w:tabs>
        <w:autoSpaceDE w:val="0"/>
        <w:autoSpaceDN w:val="0"/>
        <w:adjustRightInd w:val="0"/>
        <w:spacing w:line="360" w:lineRule="auto"/>
        <w:ind w:firstLine="420" w:firstLineChars="200"/>
        <w:jc w:val="center"/>
        <w:rPr>
          <w:rFonts w:ascii="宋体" w:hAnsi="宋体" w:cs="宋体"/>
          <w:spacing w:val="16384"/>
          <w:kern w:val="0"/>
          <w:sz w:val="28"/>
          <w:szCs w:val="28"/>
        </w:rPr>
      </w:pPr>
      <w:r>
        <w:rPr>
          <w:rFonts w:hint="eastAsia"/>
        </w:rPr>
        <w:drawing>
          <wp:inline distT="0" distB="0" distL="114300" distR="114300">
            <wp:extent cx="4982845" cy="3111500"/>
            <wp:effectExtent l="0" t="0" r="8255" b="12700"/>
            <wp:docPr id="255" name="图片 255" descr="1707723927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1707723927296"/>
                    <pic:cNvPicPr>
                      <a:picLocks noChangeAspect="1"/>
                    </pic:cNvPicPr>
                  </pic:nvPicPr>
                  <pic:blipFill>
                    <a:blip r:embed="rId39"/>
                    <a:stretch>
                      <a:fillRect/>
                    </a:stretch>
                  </pic:blipFill>
                  <pic:spPr>
                    <a:xfrm>
                      <a:off x="0" y="0"/>
                      <a:ext cx="4982845" cy="3111500"/>
                    </a:xfrm>
                    <a:prstGeom prst="rect">
                      <a:avLst/>
                    </a:prstGeom>
                  </pic:spPr>
                </pic:pic>
              </a:graphicData>
            </a:graphic>
          </wp:inline>
        </w:drawing>
      </w:r>
    </w:p>
    <w:p w14:paraId="68F15AA2">
      <w:pPr>
        <w:tabs>
          <w:tab w:val="left" w:pos="6058"/>
        </w:tabs>
        <w:autoSpaceDE w:val="0"/>
        <w:autoSpaceDN w:val="0"/>
        <w:adjustRightInd w:val="0"/>
        <w:spacing w:line="360" w:lineRule="auto"/>
        <w:ind w:firstLine="560" w:firstLineChars="200"/>
        <w:jc w:val="center"/>
        <w:rPr>
          <w:rFonts w:eastAsia="楷体_GB2312"/>
          <w:sz w:val="28"/>
          <w:szCs w:val="20"/>
        </w:rPr>
      </w:pPr>
      <w:r>
        <w:rPr>
          <w:rFonts w:hint="eastAsia" w:eastAsia="楷体_GB2312"/>
          <w:sz w:val="28"/>
          <w:szCs w:val="20"/>
        </w:rPr>
        <w:t>图13</w:t>
      </w:r>
    </w:p>
    <w:p w14:paraId="0E2EE1AE">
      <w:pPr>
        <w:tabs>
          <w:tab w:val="left" w:pos="6058"/>
        </w:tabs>
        <w:autoSpaceDE w:val="0"/>
        <w:autoSpaceDN w:val="0"/>
        <w:adjustRightInd w:val="0"/>
        <w:spacing w:line="360" w:lineRule="auto"/>
        <w:ind w:firstLine="420" w:firstLineChars="200"/>
        <w:jc w:val="center"/>
        <w:rPr>
          <w:rFonts w:eastAsia="楷体_GB2312"/>
          <w:sz w:val="28"/>
          <w:szCs w:val="20"/>
        </w:rPr>
      </w:pPr>
      <w:r>
        <w:rPr>
          <w:rFonts w:hint="eastAsia"/>
        </w:rPr>
        <w:drawing>
          <wp:inline distT="0" distB="0" distL="114300" distR="114300">
            <wp:extent cx="4982845" cy="3681095"/>
            <wp:effectExtent l="0" t="0" r="8255" b="14605"/>
            <wp:docPr id="2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4"/>
                    <pic:cNvPicPr>
                      <a:picLocks noChangeAspect="1"/>
                    </pic:cNvPicPr>
                  </pic:nvPicPr>
                  <pic:blipFill>
                    <a:blip r:embed="rId40"/>
                    <a:stretch>
                      <a:fillRect/>
                    </a:stretch>
                  </pic:blipFill>
                  <pic:spPr>
                    <a:xfrm>
                      <a:off x="0" y="0"/>
                      <a:ext cx="4982845" cy="3681095"/>
                    </a:xfrm>
                    <a:prstGeom prst="rect">
                      <a:avLst/>
                    </a:prstGeom>
                  </pic:spPr>
                </pic:pic>
              </a:graphicData>
            </a:graphic>
          </wp:inline>
        </w:drawing>
      </w:r>
    </w:p>
    <w:p w14:paraId="3794881C">
      <w:pPr>
        <w:pStyle w:val="11"/>
        <w:spacing w:line="360" w:lineRule="auto"/>
        <w:ind w:firstLine="4480" w:firstLineChars="1600"/>
        <w:rPr>
          <w:color w:val="auto"/>
        </w:rPr>
      </w:pPr>
      <w:r>
        <w:rPr>
          <w:rFonts w:hint="eastAsia"/>
          <w:color w:val="auto"/>
        </w:rPr>
        <w:t>图14</w:t>
      </w:r>
    </w:p>
    <w:p w14:paraId="583660FA">
      <w:pPr>
        <w:autoSpaceDE w:val="0"/>
        <w:autoSpaceDN w:val="0"/>
        <w:adjustRightInd w:val="0"/>
        <w:spacing w:line="360" w:lineRule="auto"/>
        <w:ind w:firstLine="420" w:firstLineChars="200"/>
        <w:jc w:val="center"/>
        <w:rPr>
          <w:rFonts w:ascii="宋体" w:hAnsi="宋体" w:cs="宋体"/>
          <w:spacing w:val="16384"/>
          <w:kern w:val="0"/>
          <w:sz w:val="28"/>
          <w:szCs w:val="28"/>
        </w:rPr>
      </w:pPr>
      <w:r>
        <w:rPr>
          <w:rFonts w:hint="eastAsia"/>
        </w:rPr>
        <w:drawing>
          <wp:inline distT="0" distB="0" distL="114300" distR="114300">
            <wp:extent cx="5267325" cy="2275205"/>
            <wp:effectExtent l="0" t="0" r="9525" b="10795"/>
            <wp:docPr id="209" name="图片 209" descr="170463056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1704630565761"/>
                    <pic:cNvPicPr>
                      <a:picLocks noChangeAspect="1"/>
                    </pic:cNvPicPr>
                  </pic:nvPicPr>
                  <pic:blipFill>
                    <a:blip r:embed="rId41"/>
                    <a:stretch>
                      <a:fillRect/>
                    </a:stretch>
                  </pic:blipFill>
                  <pic:spPr>
                    <a:xfrm>
                      <a:off x="0" y="0"/>
                      <a:ext cx="5267325" cy="2275205"/>
                    </a:xfrm>
                    <a:prstGeom prst="rect">
                      <a:avLst/>
                    </a:prstGeom>
                  </pic:spPr>
                </pic:pic>
              </a:graphicData>
            </a:graphic>
          </wp:inline>
        </w:drawing>
      </w:r>
    </w:p>
    <w:p w14:paraId="3933499C">
      <w:pPr>
        <w:pStyle w:val="11"/>
        <w:spacing w:line="360" w:lineRule="auto"/>
        <w:ind w:firstLine="0"/>
        <w:jc w:val="center"/>
        <w:rPr>
          <w:color w:val="auto"/>
        </w:rPr>
      </w:pPr>
      <w:r>
        <w:rPr>
          <w:rFonts w:hint="eastAsia"/>
          <w:color w:val="auto"/>
        </w:rPr>
        <w:t>图15</w:t>
      </w:r>
    </w:p>
    <w:p w14:paraId="7F9BC9FF">
      <w:pPr>
        <w:autoSpaceDE w:val="0"/>
        <w:autoSpaceDN w:val="0"/>
        <w:adjustRightInd w:val="0"/>
        <w:spacing w:line="360" w:lineRule="auto"/>
        <w:jc w:val="center"/>
        <w:rPr>
          <w:rFonts w:ascii="宋体" w:hAnsi="宋体" w:cs="宋体"/>
          <w:kern w:val="0"/>
          <w:sz w:val="28"/>
          <w:szCs w:val="28"/>
        </w:rPr>
      </w:pPr>
      <w:r>
        <w:rPr>
          <w:rFonts w:hint="eastAsia"/>
        </w:rPr>
        <w:drawing>
          <wp:inline distT="0" distB="0" distL="114300" distR="114300">
            <wp:extent cx="5349875" cy="2811145"/>
            <wp:effectExtent l="28575" t="28575" r="31750" b="36830"/>
            <wp:docPr id="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
                    <pic:cNvPicPr>
                      <a:picLocks noChangeAspect="1"/>
                    </pic:cNvPicPr>
                  </pic:nvPicPr>
                  <pic:blipFill>
                    <a:blip r:embed="rId42"/>
                    <a:stretch>
                      <a:fillRect/>
                    </a:stretch>
                  </pic:blipFill>
                  <pic:spPr>
                    <a:xfrm>
                      <a:off x="0" y="0"/>
                      <a:ext cx="5349875" cy="2811145"/>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w="28575" cmpd="sng">
                      <a:solidFill>
                        <a:schemeClr val="accent1">
                          <a:shade val="50000"/>
                        </a:schemeClr>
                      </a:solidFill>
                      <a:prstDash val="solid"/>
                    </a:ln>
                  </pic:spPr>
                </pic:pic>
              </a:graphicData>
            </a:graphic>
          </wp:inline>
        </w:drawing>
      </w:r>
    </w:p>
    <w:p w14:paraId="16A14429">
      <w:pPr>
        <w:pStyle w:val="11"/>
        <w:spacing w:line="360" w:lineRule="auto"/>
        <w:ind w:firstLine="0"/>
        <w:jc w:val="center"/>
        <w:rPr>
          <w:color w:val="auto"/>
        </w:rPr>
      </w:pPr>
      <w:r>
        <w:rPr>
          <w:rFonts w:hint="eastAsia"/>
          <w:color w:val="auto"/>
        </w:rPr>
        <w:t>图16</w:t>
      </w:r>
    </w:p>
    <w:p w14:paraId="43C08A92">
      <w:pPr>
        <w:pStyle w:val="11"/>
        <w:spacing w:line="360" w:lineRule="auto"/>
        <w:ind w:firstLine="0"/>
        <w:jc w:val="center"/>
        <w:rPr>
          <w:color w:val="auto"/>
        </w:rPr>
      </w:pPr>
      <w:r>
        <w:rPr>
          <w:rFonts w:hint="eastAsia"/>
        </w:rPr>
        <w:drawing>
          <wp:inline distT="0" distB="0" distL="114300" distR="114300">
            <wp:extent cx="3488055" cy="4037965"/>
            <wp:effectExtent l="0" t="0" r="17145" b="635"/>
            <wp:docPr id="21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6"/>
                    <pic:cNvPicPr>
                      <a:picLocks noChangeAspect="1"/>
                    </pic:cNvPicPr>
                  </pic:nvPicPr>
                  <pic:blipFill>
                    <a:blip r:embed="rId43"/>
                    <a:stretch>
                      <a:fillRect/>
                    </a:stretch>
                  </pic:blipFill>
                  <pic:spPr>
                    <a:xfrm>
                      <a:off x="0" y="0"/>
                      <a:ext cx="3488055" cy="4037965"/>
                    </a:xfrm>
                    <a:prstGeom prst="rect">
                      <a:avLst/>
                    </a:prstGeom>
                    <a:noFill/>
                    <a:ln>
                      <a:noFill/>
                    </a:ln>
                  </pic:spPr>
                </pic:pic>
              </a:graphicData>
            </a:graphic>
          </wp:inline>
        </w:drawing>
      </w:r>
    </w:p>
    <w:p w14:paraId="4C90ED49">
      <w:pPr>
        <w:pStyle w:val="11"/>
        <w:spacing w:line="360" w:lineRule="auto"/>
        <w:ind w:firstLine="0"/>
        <w:jc w:val="center"/>
        <w:rPr>
          <w:color w:val="auto"/>
        </w:rPr>
      </w:pPr>
      <w:r>
        <w:rPr>
          <w:rFonts w:hint="eastAsia"/>
          <w:color w:val="auto"/>
        </w:rPr>
        <w:t>图17</w:t>
      </w:r>
    </w:p>
    <w:p w14:paraId="6EEBF916">
      <w:pPr>
        <w:pStyle w:val="11"/>
        <w:spacing w:line="360" w:lineRule="auto"/>
        <w:ind w:firstLine="0"/>
        <w:jc w:val="center"/>
        <w:rPr>
          <w:color w:val="auto"/>
        </w:rPr>
      </w:pPr>
      <w:r>
        <w:rPr>
          <w:rFonts w:hint="eastAsia"/>
        </w:rPr>
        <w:drawing>
          <wp:inline distT="0" distB="0" distL="114300" distR="114300">
            <wp:extent cx="4473575" cy="2882265"/>
            <wp:effectExtent l="0" t="0" r="3175" b="13335"/>
            <wp:docPr id="4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2" descr="IMG_256"/>
                    <pic:cNvPicPr>
                      <a:picLocks noChangeAspect="1"/>
                    </pic:cNvPicPr>
                  </pic:nvPicPr>
                  <pic:blipFill>
                    <a:blip r:embed="rId44"/>
                    <a:stretch>
                      <a:fillRect/>
                    </a:stretch>
                  </pic:blipFill>
                  <pic:spPr>
                    <a:xfrm>
                      <a:off x="0" y="0"/>
                      <a:ext cx="4473575" cy="2882265"/>
                    </a:xfrm>
                    <a:prstGeom prst="rect">
                      <a:avLst/>
                    </a:prstGeom>
                    <a:noFill/>
                    <a:ln w="9525">
                      <a:noFill/>
                    </a:ln>
                  </pic:spPr>
                </pic:pic>
              </a:graphicData>
            </a:graphic>
          </wp:inline>
        </w:drawing>
      </w:r>
    </w:p>
    <w:p w14:paraId="6DBFAC96">
      <w:pPr>
        <w:pStyle w:val="11"/>
        <w:spacing w:line="360" w:lineRule="auto"/>
        <w:ind w:firstLine="0"/>
        <w:jc w:val="center"/>
        <w:rPr>
          <w:color w:val="auto"/>
        </w:rPr>
      </w:pPr>
      <w:r>
        <w:rPr>
          <w:rFonts w:hint="eastAsia"/>
          <w:color w:val="auto"/>
        </w:rPr>
        <w:t>图18</w:t>
      </w:r>
    </w:p>
    <w:p w14:paraId="6D4CF066">
      <w:pPr>
        <w:pStyle w:val="11"/>
        <w:spacing w:line="360" w:lineRule="auto"/>
        <w:ind w:firstLine="0"/>
        <w:jc w:val="center"/>
        <w:rPr>
          <w:color w:val="auto"/>
        </w:rPr>
      </w:pPr>
      <w:r>
        <w:rPr>
          <w:rFonts w:hint="eastAsia"/>
        </w:rPr>
        <w:drawing>
          <wp:inline distT="0" distB="0" distL="114300" distR="114300">
            <wp:extent cx="4547235" cy="2324735"/>
            <wp:effectExtent l="0" t="0" r="0" b="0"/>
            <wp:docPr id="2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48"/>
                    <pic:cNvPicPr>
                      <a:picLocks noChangeAspect="1"/>
                    </pic:cNvPicPr>
                  </pic:nvPicPr>
                  <pic:blipFill>
                    <a:blip r:embed="rId45"/>
                    <a:srcRect t="9448"/>
                    <a:stretch>
                      <a:fillRect/>
                    </a:stretch>
                  </pic:blipFill>
                  <pic:spPr>
                    <a:xfrm>
                      <a:off x="0" y="0"/>
                      <a:ext cx="4547235" cy="2324735"/>
                    </a:xfrm>
                    <a:prstGeom prst="rect">
                      <a:avLst/>
                    </a:prstGeom>
                    <a:noFill/>
                    <a:ln>
                      <a:noFill/>
                    </a:ln>
                  </pic:spPr>
                </pic:pic>
              </a:graphicData>
            </a:graphic>
          </wp:inline>
        </w:drawing>
      </w:r>
    </w:p>
    <w:p w14:paraId="3BAF6746">
      <w:pPr>
        <w:pStyle w:val="11"/>
        <w:spacing w:line="360" w:lineRule="auto"/>
        <w:ind w:firstLine="0"/>
        <w:jc w:val="center"/>
        <w:rPr>
          <w:color w:val="auto"/>
        </w:rPr>
      </w:pPr>
      <w:r>
        <w:rPr>
          <w:rFonts w:hint="eastAsia"/>
          <w:color w:val="auto"/>
        </w:rPr>
        <w:t>图19</w:t>
      </w:r>
    </w:p>
    <w:p w14:paraId="5319C9C3">
      <w:pPr>
        <w:pStyle w:val="11"/>
        <w:spacing w:line="360" w:lineRule="auto"/>
        <w:ind w:firstLine="0"/>
        <w:jc w:val="center"/>
        <w:rPr>
          <w:color w:val="auto"/>
        </w:rPr>
      </w:pPr>
      <w:r>
        <w:rPr>
          <w:rFonts w:hint="eastAsia"/>
        </w:rPr>
        <w:drawing>
          <wp:inline distT="0" distB="0" distL="114300" distR="114300">
            <wp:extent cx="4676775" cy="2413635"/>
            <wp:effectExtent l="0" t="0" r="9525" b="5715"/>
            <wp:docPr id="2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49"/>
                    <pic:cNvPicPr>
                      <a:picLocks noChangeAspect="1"/>
                    </pic:cNvPicPr>
                  </pic:nvPicPr>
                  <pic:blipFill>
                    <a:blip r:embed="rId46"/>
                    <a:stretch>
                      <a:fillRect/>
                    </a:stretch>
                  </pic:blipFill>
                  <pic:spPr>
                    <a:xfrm>
                      <a:off x="0" y="0"/>
                      <a:ext cx="4676775" cy="2413635"/>
                    </a:xfrm>
                    <a:prstGeom prst="rect">
                      <a:avLst/>
                    </a:prstGeom>
                    <a:noFill/>
                    <a:ln>
                      <a:noFill/>
                    </a:ln>
                  </pic:spPr>
                </pic:pic>
              </a:graphicData>
            </a:graphic>
          </wp:inline>
        </w:drawing>
      </w:r>
    </w:p>
    <w:p w14:paraId="1F5E15CF">
      <w:pPr>
        <w:pStyle w:val="11"/>
        <w:spacing w:line="360" w:lineRule="auto"/>
        <w:ind w:firstLine="0"/>
        <w:jc w:val="center"/>
        <w:rPr>
          <w:color w:val="auto"/>
        </w:rPr>
      </w:pPr>
      <w:r>
        <w:rPr>
          <w:rFonts w:hint="eastAsia"/>
          <w:color w:val="auto"/>
        </w:rPr>
        <w:t>图20</w:t>
      </w:r>
    </w:p>
    <w:p w14:paraId="7777631D">
      <w:pPr>
        <w:pStyle w:val="11"/>
        <w:spacing w:line="360" w:lineRule="auto"/>
        <w:ind w:firstLine="0"/>
        <w:jc w:val="center"/>
        <w:rPr>
          <w:color w:val="auto"/>
        </w:rPr>
      </w:pPr>
      <w:r>
        <w:rPr>
          <w:rFonts w:hint="eastAsia" w:eastAsia="宋体"/>
        </w:rPr>
        <w:drawing>
          <wp:inline distT="0" distB="0" distL="114300" distR="114300">
            <wp:extent cx="4454525" cy="2433320"/>
            <wp:effectExtent l="0" t="0" r="3175" b="5080"/>
            <wp:docPr id="284" name="图片 284" descr="170463570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1704635708872"/>
                    <pic:cNvPicPr>
                      <a:picLocks noChangeAspect="1"/>
                    </pic:cNvPicPr>
                  </pic:nvPicPr>
                  <pic:blipFill>
                    <a:blip r:embed="rId47"/>
                    <a:stretch>
                      <a:fillRect/>
                    </a:stretch>
                  </pic:blipFill>
                  <pic:spPr>
                    <a:xfrm>
                      <a:off x="0" y="0"/>
                      <a:ext cx="4454525" cy="2433320"/>
                    </a:xfrm>
                    <a:prstGeom prst="rect">
                      <a:avLst/>
                    </a:prstGeom>
                  </pic:spPr>
                </pic:pic>
              </a:graphicData>
            </a:graphic>
          </wp:inline>
        </w:drawing>
      </w:r>
    </w:p>
    <w:p w14:paraId="3A22433A">
      <w:pPr>
        <w:pStyle w:val="11"/>
        <w:spacing w:line="360" w:lineRule="auto"/>
        <w:ind w:firstLine="0"/>
        <w:jc w:val="center"/>
        <w:rPr>
          <w:color w:val="auto"/>
        </w:rPr>
      </w:pPr>
      <w:r>
        <w:rPr>
          <w:rFonts w:hint="eastAsia"/>
          <w:color w:val="auto"/>
        </w:rPr>
        <w:t>图21</w:t>
      </w:r>
    </w:p>
    <w:sectPr>
      <w:headerReference r:id="rId16" w:type="first"/>
      <w:footerReference r:id="rId18" w:type="first"/>
      <w:footerReference r:id="rId17" w:type="default"/>
      <w:pgSz w:w="11906" w:h="16838"/>
      <w:pgMar w:top="1701" w:right="1191" w:bottom="1418" w:left="1531" w:header="851" w:footer="567" w:gutter="0"/>
      <w:pgNumType w:start="1"/>
      <w:cols w:space="720" w:num="1"/>
      <w:titlePg/>
      <w:docGrid w:type="lines" w:linePitch="5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00"/>
    <w:family w:val="auto"/>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9F7DD6">
    <w:pPr>
      <w:pStyle w:val="9"/>
      <w:spacing w:line="200" w:lineRule="exact"/>
      <w:jc w:val="both"/>
      <w:rPr>
        <w:rFonts w:ascii="黑体" w:eastAsia="黑体"/>
      </w:rPr>
    </w:pPr>
    <w:r>
      <w:rPr>
        <w:rFonts w:ascii="黑体" w:eastAsia="黑体"/>
      </w:rPr>
      <w:t>10</w:t>
    </w:r>
    <w:r>
      <w:rPr>
        <w:rFonts w:hint="eastAsia" w:ascii="黑体" w:eastAsia="黑体"/>
      </w:rPr>
      <w:t>0</w:t>
    </w:r>
    <w:r>
      <w:rPr>
        <w:rFonts w:ascii="黑体" w:eastAsia="黑体"/>
      </w:rPr>
      <w:t>00</w:t>
    </w:r>
    <w:r>
      <w:rPr>
        <w:rFonts w:hint="eastAsia" w:ascii="黑体" w:eastAsia="黑体"/>
      </w:rPr>
      <w:t>4</w:t>
    </w:r>
  </w:p>
  <w:p w14:paraId="64AB5E8B">
    <w:pPr>
      <w:pStyle w:val="9"/>
      <w:spacing w:line="200" w:lineRule="exact"/>
      <w:jc w:val="both"/>
      <w:rPr>
        <w:rFonts w:ascii="黑体" w:eastAsia="黑体"/>
      </w:rPr>
    </w:pPr>
    <w:r>
      <w:rPr>
        <w:rFonts w:ascii="黑体" w:eastAsia="黑体"/>
      </w:rPr>
      <mc:AlternateContent>
        <mc:Choice Requires="wps">
          <w:drawing>
            <wp:anchor distT="0" distB="0" distL="114300" distR="114300" simplePos="0" relativeHeight="251673600" behindDoc="0" locked="0" layoutInCell="0" allowOverlap="1">
              <wp:simplePos x="0" y="0"/>
              <wp:positionH relativeFrom="column">
                <wp:posOffset>1905</wp:posOffset>
              </wp:positionH>
              <wp:positionV relativeFrom="paragraph">
                <wp:posOffset>-156845</wp:posOffset>
              </wp:positionV>
              <wp:extent cx="6120130" cy="0"/>
              <wp:effectExtent l="0" t="6350" r="0" b="6350"/>
              <wp:wrapNone/>
              <wp:docPr id="35" name="直线 52"/>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2" o:spid="_x0000_s1026" o:spt="20" style="position:absolute;left:0pt;margin-left:0.15pt;margin-top:-12.35pt;height:0pt;width:481.9pt;z-index:251673600;mso-width-relative:page;mso-height-relative:page;" filled="f" stroked="t" coordsize="21600,21600" o:allowincell="f" o:gfxdata="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NHLXTXAAAA&#10;CAEAAA8AAAAAAAAAAQAgAAAAIgAAAGRycy9kb3ducmV2LnhtbFBLAQIUABQAAAAIAIdO4kAd9rwk&#10;5QEAAOADAAAOAAAAAAAAAAEAIAAAACY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2010.2</w:t>
    </w:r>
  </w:p>
  <w:p w14:paraId="1D56F89A">
    <w:pPr>
      <w:pStyle w:val="9"/>
      <w:spacing w:line="200" w:lineRule="exact"/>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EF57B">
    <w:pPr>
      <w:pStyle w:val="9"/>
      <w:spacing w:line="200" w:lineRule="exact"/>
      <w:rPr>
        <w:rFonts w:ascii="黑体" w:eastAsia="黑体"/>
      </w:rPr>
    </w:pPr>
    <w:r>
      <mc:AlternateContent>
        <mc:Choice Requires="wps">
          <w:drawing>
            <wp:anchor distT="0" distB="0" distL="114300" distR="114300" simplePos="0" relativeHeight="251663360" behindDoc="0" locked="1" layoutInCell="1" allowOverlap="1">
              <wp:simplePos x="0" y="0"/>
              <wp:positionH relativeFrom="column">
                <wp:align>center</wp:align>
              </wp:positionH>
              <wp:positionV relativeFrom="margin">
                <wp:posOffset>8785225</wp:posOffset>
              </wp:positionV>
              <wp:extent cx="5579745" cy="0"/>
              <wp:effectExtent l="0" t="6350" r="0" b="6350"/>
              <wp:wrapNone/>
              <wp:docPr id="16" name="直线 10"/>
              <wp:cNvGraphicFramePr/>
              <a:graphic xmlns:a="http://schemas.openxmlformats.org/drawingml/2006/main">
                <a:graphicData uri="http://schemas.microsoft.com/office/word/2010/wordprocessingShape">
                  <wps:wsp>
                    <wps:cNvCnPr/>
                    <wps:spPr>
                      <a:xfrm>
                        <a:off x="0" y="0"/>
                        <a:ext cx="5579745"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10" o:spid="_x0000_s1026" o:spt="20" style="position:absolute;left:0pt;margin-top:691.75pt;height:0pt;width:439.35pt;mso-position-horizontal:center;mso-position-vertical-relative:margin;z-index:251663360;mso-width-relative:page;mso-height-relative:page;" filled="f" stroked="t" coordsize="21600,21600" o:gfxdata="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4m/WHWAAAA&#10;CgEAAA8AAAAAAAAAAQAgAAAAIgAAAGRycy9kb3ducmV2LnhtbFBLAQIUABQAAAAIAIdO4kCgYOit&#10;5gEAAOADAAAOAAAAAAAAAAEAIAAAACUBAABkcnMvZTJvRG9jLnhtbFBLBQYAAAAABgAGAFkBAAB9&#10;BQAAAAA=&#10;">
              <v:fill on="f" focussize="0,0"/>
              <v:stroke weight="1pt" color="#000000" joinstyle="round"/>
              <v:imagedata o:title=""/>
              <o:lock v:ext="edit" aspectratio="f"/>
              <w10:anchorlock/>
            </v:line>
          </w:pict>
        </mc:Fallback>
      </mc:AlternateContent>
    </w:r>
    <w:r>
      <w:drawing>
        <wp:anchor distT="0" distB="0" distL="114300" distR="114300" simplePos="0" relativeHeight="251662336" behindDoc="0" locked="0" layoutInCell="1" allowOverlap="1">
          <wp:simplePos x="0" y="0"/>
          <wp:positionH relativeFrom="column">
            <wp:posOffset>395605</wp:posOffset>
          </wp:positionH>
          <wp:positionV relativeFrom="paragraph">
            <wp:posOffset>12065</wp:posOffset>
          </wp:positionV>
          <wp:extent cx="737870" cy="286385"/>
          <wp:effectExtent l="0" t="0" r="5080" b="18415"/>
          <wp:wrapNone/>
          <wp:docPr id="11" name="图片 9" descr="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10002"/>
                  <pic:cNvPicPr>
                    <a:picLocks noChangeAspect="1"/>
                  </pic:cNvPicPr>
                </pic:nvPicPr>
                <pic:blipFill>
                  <a:blip r:embed="rId1"/>
                  <a:stretch>
                    <a:fillRect/>
                  </a:stretch>
                </pic:blipFill>
                <pic:spPr>
                  <a:xfrm>
                    <a:off x="0" y="0"/>
                    <a:ext cx="737870" cy="286385"/>
                  </a:xfrm>
                  <a:prstGeom prst="rect">
                    <a:avLst/>
                  </a:prstGeom>
                  <a:noFill/>
                  <a:ln>
                    <a:noFill/>
                  </a:ln>
                </pic:spPr>
              </pic:pic>
            </a:graphicData>
          </a:graphic>
        </wp:anchor>
      </w:drawing>
    </w:r>
    <w:r>
      <w:rPr>
        <w:rFonts w:ascii="黑体" w:eastAsia="黑体"/>
      </w:rPr>
      <w:t>10002</w:t>
    </w:r>
  </w:p>
  <w:p w14:paraId="05EC336C">
    <w:pPr>
      <w:pStyle w:val="9"/>
      <w:jc w:val="both"/>
    </w:pPr>
    <w:r>
      <w:rPr>
        <w:rFonts w:hint="eastAsia" w:ascii="黑体" w:eastAsia="黑体"/>
      </w:rPr>
      <w:t>2002.8</w:t>
    </w: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754A8">
    <w:pPr>
      <w:pStyle w:val="9"/>
      <w:spacing w:line="200" w:lineRule="exact"/>
      <w:jc w:val="both"/>
      <w:rPr>
        <w:rFonts w:ascii="黑体" w:eastAsia="黑体"/>
      </w:rPr>
    </w:pPr>
    <w:r>
      <w:rPr>
        <w:rFonts w:eastAsia="黑体"/>
        <w:spacing w:val="90"/>
        <w:sz w:val="20"/>
      </w:rPr>
      <mc:AlternateContent>
        <mc:Choice Requires="wps">
          <w:drawing>
            <wp:anchor distT="0" distB="0" distL="114300" distR="114300" simplePos="0" relativeHeight="251674624" behindDoc="0" locked="0" layoutInCell="0" allowOverlap="1">
              <wp:simplePos x="0" y="0"/>
              <wp:positionH relativeFrom="column">
                <wp:posOffset>12700</wp:posOffset>
              </wp:positionH>
              <wp:positionV relativeFrom="paragraph">
                <wp:posOffset>-38100</wp:posOffset>
              </wp:positionV>
              <wp:extent cx="6120130" cy="0"/>
              <wp:effectExtent l="0" t="6350" r="0" b="6350"/>
              <wp:wrapNone/>
              <wp:docPr id="44" name="直线 5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3" o:spid="_x0000_s1026" o:spt="20" style="position:absolute;left:0pt;margin-left:1pt;margin-top:-3pt;height:0pt;width:481.9pt;z-index:251674624;mso-width-relative:page;mso-height-relative:page;" filled="f" stroked="t" coordsize="21600,21600" o:allowincell="f" o:gfxdata="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OrlyfWAAAA&#10;BwEAAA8AAAAAAAAAAQAgAAAAIgAAAGRycy9kb3ducmV2LnhtbFBLAQIUABQAAAAIAIdO4kB6ufxr&#10;5gEAAOADAAAOAAAAAAAAAAEAIAAAACU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100005</w:t>
    </w:r>
  </w:p>
  <w:p w14:paraId="6157A8C4">
    <w:pPr>
      <w:pStyle w:val="9"/>
      <w:spacing w:line="200" w:lineRule="exact"/>
      <w:jc w:val="both"/>
    </w:pPr>
    <w:r>
      <w:rPr>
        <w:rFonts w:hint="eastAsia" w:ascii="黑体" w:eastAsia="黑体"/>
      </w:rPr>
      <w:t>2010.2</w:t>
    </w: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p w14:paraId="7AF24B3B">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CC6BDF">
    <w:pPr>
      <w:pStyle w:val="9"/>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1</w:t>
    </w:r>
  </w:p>
  <w:p w14:paraId="01531611">
    <w:pPr>
      <w:pStyle w:val="9"/>
      <w:jc w:val="both"/>
      <w:rPr>
        <w:rFonts w:ascii="黑体" w:eastAsia="黑体"/>
      </w:rPr>
    </w:pPr>
    <w:r>
      <mc:AlternateContent>
        <mc:Choice Requires="wps">
          <w:drawing>
            <wp:anchor distT="0" distB="0" distL="114300" distR="114300" simplePos="0" relativeHeight="251669504" behindDoc="0" locked="0" layoutInCell="0" allowOverlap="1">
              <wp:simplePos x="0" y="0"/>
              <wp:positionH relativeFrom="column">
                <wp:posOffset>13335</wp:posOffset>
              </wp:positionH>
              <wp:positionV relativeFrom="paragraph">
                <wp:posOffset>-156845</wp:posOffset>
              </wp:positionV>
              <wp:extent cx="6120130" cy="0"/>
              <wp:effectExtent l="0" t="6350" r="0" b="6350"/>
              <wp:wrapNone/>
              <wp:docPr id="23" name="直线 43"/>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43" o:spid="_x0000_s1026" o:spt="20" style="position:absolute;left:0pt;margin-left:1.05pt;margin-top:-12.35pt;height:0pt;width:481.9pt;z-index:251669504;mso-width-relative:page;mso-height-relative:page;" filled="f" stroked="t" coordsize="21600,21600" o:allowincell="f" o:gfxdata="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sN8FX2AAA&#10;AAkBAAAPAAAAAAAAAAEAIAAAACIAAABkcnMvZG93bnJldi54bWxQSwECFAAUAAAACACHTuJA5a/Y&#10;JeUBAADgAwAADgAAAAAAAAABACAAAAAnAQAAZHJzL2Uyb0RvYy54bWxQSwUGAAAAAAYABgBZAQAA&#10;fgUAAAAA&#10;">
              <v:fill on="f" focussize="0,0"/>
              <v:stroke weight="1pt" color="#000000" joinstyle="round"/>
              <v:imagedata o:title=""/>
              <o:lock v:ext="edit" aspectratio="f"/>
            </v:line>
          </w:pict>
        </mc:Fallback>
      </mc:AlternateContent>
    </w:r>
    <w:r>
      <w:rPr>
        <w:rFonts w:hint="eastAsia" w:ascii="黑体" w:eastAsia="黑体"/>
      </w:rPr>
      <w:t>2010.2</w:t>
    </w:r>
  </w:p>
  <w:p w14:paraId="6B824BA9">
    <w:pPr>
      <w:pStyle w:val="9"/>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3</w:t>
    </w:r>
    <w:r>
      <w:rPr>
        <w:rFonts w:ascii="黑体"/>
        <w:sz w:val="24"/>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05C9E7">
    <w:pPr>
      <w:pStyle w:val="9"/>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1</w:t>
    </w:r>
  </w:p>
  <w:p w14:paraId="121F8740">
    <w:pPr>
      <w:pStyle w:val="9"/>
      <w:jc w:val="both"/>
      <w:rPr>
        <w:rFonts w:ascii="黑体" w:eastAsia="黑体"/>
      </w:rPr>
    </w:pPr>
    <w:r>
      <mc:AlternateContent>
        <mc:Choice Requires="wps">
          <w:drawing>
            <wp:anchor distT="0" distB="0" distL="114300" distR="114300" simplePos="0" relativeHeight="251668480" behindDoc="0" locked="0" layoutInCell="0" allowOverlap="1">
              <wp:simplePos x="0" y="0"/>
              <wp:positionH relativeFrom="column">
                <wp:posOffset>13335</wp:posOffset>
              </wp:positionH>
              <wp:positionV relativeFrom="paragraph">
                <wp:posOffset>-156845</wp:posOffset>
              </wp:positionV>
              <wp:extent cx="6120130" cy="0"/>
              <wp:effectExtent l="0" t="6350" r="0" b="6350"/>
              <wp:wrapNone/>
              <wp:docPr id="22" name="直线 40"/>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40" o:spid="_x0000_s1026" o:spt="20" style="position:absolute;left:0pt;margin-left:1.05pt;margin-top:-12.35pt;height:0pt;width:481.9pt;z-index:251668480;mso-width-relative:page;mso-height-relative:page;" filled="f" stroked="t" coordsize="21600,21600" o:allowincell="f" o:gfxdata="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7DfBV9gAAAAJ&#10;AQAADwAAAAAAAAABACAAAAAiAAAAZHJzL2Rvd25yZXYueG1sUEsBAhQAFAAAAAgAh07iQDzGaQTj&#10;AQAA4AMAAA4AAAAAAAAAAQAgAAAAJwEAAGRycy9lMm9Eb2MueG1sUEsFBgAAAAAGAAYAWQEAAHwF&#10;AAAAAA==&#10;">
              <v:fill on="f" focussize="0,0"/>
              <v:stroke weight="1pt" color="#000000" joinstyle="round"/>
              <v:imagedata o:title=""/>
              <o:lock v:ext="edit" aspectratio="f"/>
            </v:line>
          </w:pict>
        </mc:Fallback>
      </mc:AlternateContent>
    </w:r>
    <w:r>
      <w:rPr>
        <w:rFonts w:hint="eastAsia" w:ascii="黑体" w:eastAsia="黑体"/>
      </w:rPr>
      <w:t>2010.2</w:t>
    </w:r>
  </w:p>
  <w:p w14:paraId="5E945E1E">
    <w:pPr>
      <w:pStyle w:val="9"/>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16797B">
    <w:pPr>
      <w:pStyle w:val="9"/>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2</w:t>
    </w:r>
  </w:p>
  <w:p w14:paraId="7A3F52CD">
    <w:pPr>
      <w:pStyle w:val="9"/>
      <w:spacing w:line="200" w:lineRule="exact"/>
      <w:jc w:val="both"/>
      <w:rPr>
        <w:rFonts w:ascii="黑体" w:eastAsia="黑体"/>
      </w:rPr>
    </w:pPr>
    <w:r>
      <w:rPr>
        <w:rFonts w:ascii="黑体" w:eastAsia="黑体"/>
      </w:rPr>
      <mc:AlternateContent>
        <mc:Choice Requires="wps">
          <w:drawing>
            <wp:anchor distT="0" distB="0" distL="114300" distR="114300" simplePos="0" relativeHeight="251671552" behindDoc="0" locked="0" layoutInCell="0" allowOverlap="1">
              <wp:simplePos x="0" y="0"/>
              <wp:positionH relativeFrom="column">
                <wp:posOffset>-28575</wp:posOffset>
              </wp:positionH>
              <wp:positionV relativeFrom="paragraph">
                <wp:posOffset>-156845</wp:posOffset>
              </wp:positionV>
              <wp:extent cx="6120130" cy="0"/>
              <wp:effectExtent l="0" t="6350" r="0" b="6350"/>
              <wp:wrapNone/>
              <wp:docPr id="25" name="直线 50"/>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0" o:spid="_x0000_s1026" o:spt="20" style="position:absolute;left:0pt;margin-left:-2.25pt;margin-top:-12.35pt;height:0pt;width:481.9pt;z-index:251671552;mso-width-relative:page;mso-height-relative:page;" filled="f" stroked="t" coordsize="21600,21600" o:allowincell="f" o:gfxdata="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UEVErZAAAA&#10;CgEAAA8AAAAAAAAAAQAgAAAAIgAAAGRycy9kb3ducmV2LnhtbFBLAQIUABQAAAAIAIdO4kBfOMyy&#10;4wEAAOADAAAOAAAAAAAAAAEAIAAAACg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2010.2</w:t>
    </w:r>
  </w:p>
  <w:p w14:paraId="6A586AB2">
    <w:pPr>
      <w:pStyle w:val="9"/>
      <w:spacing w:line="200" w:lineRule="exact"/>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13</w:t>
    </w:r>
    <w:r>
      <w:rPr>
        <w:rFonts w:ascii="黑体"/>
        <w:sz w:val="24"/>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A7307A">
    <w:pPr>
      <w:pStyle w:val="9"/>
      <w:spacing w:line="200" w:lineRule="exact"/>
      <w:rPr>
        <w:rFonts w:ascii="黑体" w:eastAsia="黑体"/>
      </w:rPr>
    </w:pPr>
    <w:r>
      <w:rPr>
        <w:rFonts w:ascii="黑体" w:eastAsia="黑体"/>
      </w:rPr>
      <w:t>100</w:t>
    </w:r>
    <w:r>
      <w:rPr>
        <w:rFonts w:hint="eastAsia" w:ascii="黑体" w:eastAsia="黑体"/>
      </w:rPr>
      <w:t>0</w:t>
    </w:r>
    <w:r>
      <w:rPr>
        <w:rFonts w:ascii="黑体" w:eastAsia="黑体"/>
      </w:rPr>
      <w:t>0</w:t>
    </w:r>
    <w:r>
      <w:rPr>
        <w:rFonts w:hint="eastAsia" w:ascii="黑体" w:eastAsia="黑体"/>
      </w:rPr>
      <w:t>2</w:t>
    </w:r>
  </w:p>
  <w:p w14:paraId="26FB6C9F">
    <w:pPr>
      <w:pStyle w:val="9"/>
      <w:spacing w:line="200" w:lineRule="exact"/>
      <w:jc w:val="both"/>
      <w:rPr>
        <w:rFonts w:ascii="黑体" w:eastAsia="黑体"/>
      </w:rPr>
    </w:pPr>
    <w:r>
      <w:rPr>
        <w:rFonts w:ascii="黑体" w:eastAsia="黑体"/>
      </w:rPr>
      <mc:AlternateContent>
        <mc:Choice Requires="wps">
          <w:drawing>
            <wp:anchor distT="0" distB="0" distL="114300" distR="114300" simplePos="0" relativeHeight="251670528" behindDoc="0" locked="0" layoutInCell="0" allowOverlap="1">
              <wp:simplePos x="0" y="0"/>
              <wp:positionH relativeFrom="column">
                <wp:posOffset>-28575</wp:posOffset>
              </wp:positionH>
              <wp:positionV relativeFrom="paragraph">
                <wp:posOffset>-156845</wp:posOffset>
              </wp:positionV>
              <wp:extent cx="6120130" cy="0"/>
              <wp:effectExtent l="0" t="6350" r="0" b="6350"/>
              <wp:wrapNone/>
              <wp:docPr id="24" name="直线 49"/>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49" o:spid="_x0000_s1026" o:spt="20" style="position:absolute;left:0pt;margin-left:-2.25pt;margin-top:-12.35pt;height:0pt;width:481.9pt;z-index:251670528;mso-width-relative:page;mso-height-relative:page;" filled="f" stroked="t" coordsize="21600,21600" o:allowincell="f" o:gfxdata="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VQRUStkA&#10;AAAKAQAADwAAAAAAAAABACAAAAAiAAAAZHJzL2Rvd25yZXYueG1sUEsBAhQAFAAAAAgAh07iQLZh&#10;piLlAQAA4AMAAA4AAAAAAAAAAQAgAAAAKAEAAGRycy9lMm9Eb2MueG1sUEsFBgAAAAAGAAYAWQEA&#10;AH8FAAAAAA==&#10;">
              <v:fill on="f" focussize="0,0"/>
              <v:stroke weight="1pt" color="#000000" joinstyle="round"/>
              <v:imagedata o:title=""/>
              <o:lock v:ext="edit" aspectratio="f"/>
            </v:line>
          </w:pict>
        </mc:Fallback>
      </mc:AlternateContent>
    </w:r>
    <w:r>
      <w:rPr>
        <w:rFonts w:hint="eastAsia" w:ascii="黑体" w:eastAsia="黑体"/>
      </w:rPr>
      <w:t>2010.2</w:t>
    </w:r>
  </w:p>
  <w:p w14:paraId="1682E15D">
    <w:pPr>
      <w:pStyle w:val="9"/>
      <w:spacing w:line="200" w:lineRule="exact"/>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w:t>
    </w:r>
    <w:r>
      <w:rPr>
        <w:rFonts w:ascii="黑体"/>
        <w:sz w:val="24"/>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B928D1">
    <w:pPr>
      <w:pStyle w:val="9"/>
      <w:spacing w:line="200" w:lineRule="exact"/>
      <w:rPr>
        <w:rFonts w:ascii="黑体" w:eastAsia="黑体"/>
      </w:rPr>
    </w:pPr>
    <w:r>
      <w:rPr>
        <w:rFonts w:hint="eastAsia" w:ascii="黑体" w:eastAsia="黑体"/>
      </w:rPr>
      <w:t>100003</w:t>
    </w:r>
  </w:p>
  <w:p w14:paraId="645FA54D">
    <w:pPr>
      <w:pStyle w:val="9"/>
      <w:spacing w:line="200" w:lineRule="exact"/>
      <w:jc w:val="both"/>
      <w:rPr>
        <w:rFonts w:ascii="黑体" w:eastAsia="黑体"/>
      </w:rPr>
    </w:pPr>
    <w:r>
      <mc:AlternateContent>
        <mc:Choice Requires="wps">
          <w:drawing>
            <wp:anchor distT="0" distB="0" distL="114300" distR="114300" simplePos="0" relativeHeight="251675648" behindDoc="0" locked="0" layoutInCell="0" allowOverlap="1">
              <wp:simplePos x="0" y="0"/>
              <wp:positionH relativeFrom="column">
                <wp:posOffset>1905</wp:posOffset>
              </wp:positionH>
              <wp:positionV relativeFrom="paragraph">
                <wp:posOffset>-156845</wp:posOffset>
              </wp:positionV>
              <wp:extent cx="6120130" cy="0"/>
              <wp:effectExtent l="0" t="6350" r="0" b="6350"/>
              <wp:wrapNone/>
              <wp:docPr id="46" name="直线 55"/>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5" o:spid="_x0000_s1026" o:spt="20" style="position:absolute;left:0pt;margin-left:0.15pt;margin-top:-12.35pt;height:0pt;width:481.9pt;z-index:251675648;mso-width-relative:page;mso-height-relative:page;" filled="f" stroked="t" coordsize="21600,21600" o:allowincell="f" o:gfxdata="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NHLXTXAAAA&#10;CAEAAA8AAAAAAAAAAQAgAAAAIgAAAGRycy9kb3ducmV2LnhtbFBLAQIUABQAAAAIAIdO4kDIap4o&#10;5QEAAOADAAAOAAAAAAAAAAEAIAAAACYBAABkcnMvZTJvRG9jLnhtbFBLBQYAAAAABgAGAFkBAAB9&#10;BQAAAAA=&#10;">
              <v:fill on="f" focussize="0,0"/>
              <v:stroke weight="1pt" color="#000000" joinstyle="round"/>
              <v:imagedata o:title=""/>
              <o:lock v:ext="edit" aspectratio="f"/>
            </v:line>
          </w:pict>
        </mc:Fallback>
      </mc:AlternateContent>
    </w:r>
    <w:r>
      <w:rPr>
        <w:rFonts w:hint="eastAsia" w:ascii="黑体" w:eastAsia="黑体"/>
      </w:rPr>
      <w:t>2010.2</w:t>
    </w:r>
  </w:p>
  <w:p w14:paraId="445570D6">
    <w:pPr>
      <w:pStyle w:val="9"/>
      <w:jc w:val="both"/>
    </w:pPr>
    <w:r>
      <w:rPr>
        <w:rFonts w:hint="eastAsia" w:ascii="黑体" w:eastAsia="黑体"/>
      </w:rPr>
      <w:tab/>
    </w:r>
    <w:r>
      <w:rPr>
        <w:rFonts w:ascii="黑体"/>
        <w:sz w:val="24"/>
      </w:rPr>
      <w:fldChar w:fldCharType="begin"/>
    </w:r>
    <w:r>
      <w:rPr>
        <w:rFonts w:ascii="黑体"/>
        <w:sz w:val="24"/>
      </w:rPr>
      <w:instrText xml:space="preserve"> PAGE </w:instrText>
    </w:r>
    <w:r>
      <w:rPr>
        <w:rFonts w:ascii="黑体"/>
        <w:sz w:val="24"/>
      </w:rPr>
      <w:fldChar w:fldCharType="separate"/>
    </w:r>
    <w:r>
      <w:rPr>
        <w:rFonts w:ascii="黑体"/>
        <w:sz w:val="24"/>
      </w:rPr>
      <w:t>11</w:t>
    </w:r>
    <w:r>
      <w:rPr>
        <w:rFonts w:ascii="黑体"/>
        <w:sz w:val="24"/>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6FB852">
    <w:pPr>
      <w:pStyle w:val="9"/>
      <w:spacing w:line="200" w:lineRule="exact"/>
      <w:rPr>
        <w:rFonts w:ascii="黑体" w:eastAsia="黑体"/>
      </w:rPr>
    </w:pPr>
    <w:r>
      <w:rPr>
        <w:rFonts w:ascii="黑体" w:eastAsia="黑体"/>
      </w:rPr>
      <w:t>10</w:t>
    </w:r>
    <w:r>
      <w:rPr>
        <w:rFonts w:hint="eastAsia" w:ascii="黑体" w:eastAsia="黑体"/>
      </w:rPr>
      <w:t>0</w:t>
    </w:r>
    <w:r>
      <w:rPr>
        <w:rFonts w:ascii="黑体" w:eastAsia="黑体"/>
      </w:rPr>
      <w:t>00</w:t>
    </w:r>
    <w:r>
      <w:rPr>
        <w:rFonts w:hint="eastAsia" w:ascii="黑体" w:eastAsia="黑体"/>
      </w:rPr>
      <w:t>3</w:t>
    </w:r>
  </w:p>
  <w:p w14:paraId="29FEDE42">
    <w:pPr>
      <w:pStyle w:val="9"/>
      <w:spacing w:line="200" w:lineRule="exact"/>
      <w:jc w:val="both"/>
      <w:rPr>
        <w:rFonts w:ascii="黑体" w:eastAsia="黑体"/>
      </w:rPr>
    </w:pPr>
    <w:r>
      <w:rPr>
        <w:rFonts w:ascii="黑体" w:eastAsia="黑体"/>
      </w:rPr>
      <mc:AlternateContent>
        <mc:Choice Requires="wps">
          <w:drawing>
            <wp:anchor distT="0" distB="0" distL="114300" distR="114300" simplePos="0" relativeHeight="251672576" behindDoc="0" locked="0" layoutInCell="0" allowOverlap="1">
              <wp:simplePos x="0" y="0"/>
              <wp:positionH relativeFrom="column">
                <wp:posOffset>1905</wp:posOffset>
              </wp:positionH>
              <wp:positionV relativeFrom="paragraph">
                <wp:posOffset>-156845</wp:posOffset>
              </wp:positionV>
              <wp:extent cx="6120130" cy="0"/>
              <wp:effectExtent l="0" t="6350" r="0" b="6350"/>
              <wp:wrapNone/>
              <wp:docPr id="30" name="直线 51"/>
              <wp:cNvGraphicFramePr/>
              <a:graphic xmlns:a="http://schemas.openxmlformats.org/drawingml/2006/main">
                <a:graphicData uri="http://schemas.microsoft.com/office/word/2010/wordprocessingShape">
                  <wps:wsp>
                    <wps:cNvCnPr/>
                    <wps:spPr>
                      <a:xfrm>
                        <a:off x="0" y="0"/>
                        <a:ext cx="61201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51" o:spid="_x0000_s1026" o:spt="20" style="position:absolute;left:0pt;margin-left:0.15pt;margin-top:-12.35pt;height:0pt;width:481.9pt;z-index:251672576;mso-width-relative:page;mso-height-relative:page;" filled="f" stroked="t" coordsize="21600,21600" o:allowincell="f" o:gfxdata="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zRy101wAAAAgB&#10;AAAPAAAAAAAAAAEAIAAAACIAAABkcnMvZG93bnJldi54bWxQSwECFAAUAAAACACHTuJAUnmJuOMB&#10;AADgAwAADgAAAAAAAAABACAAAAAmAQAAZHJzL2Uyb0RvYy54bWxQSwUGAAAAAAYABgBZAQAAewUA&#10;AAAA&#10;">
              <v:fill on="f" focussize="0,0"/>
              <v:stroke weight="1pt" color="#000000" joinstyle="round"/>
              <v:imagedata o:title=""/>
              <o:lock v:ext="edit" aspectratio="f"/>
            </v:line>
          </w:pict>
        </mc:Fallback>
      </mc:AlternateContent>
    </w:r>
    <w:r>
      <w:rPr>
        <w:rFonts w:hint="eastAsia" w:ascii="黑体" w:eastAsia="黑体"/>
      </w:rPr>
      <w:t>2010.2</w:t>
    </w:r>
  </w:p>
  <w:p w14:paraId="31A153DB">
    <w:pPr>
      <w:pStyle w:val="9"/>
      <w:spacing w:line="200" w:lineRule="exact"/>
      <w:jc w:val="both"/>
    </w:pPr>
    <w:r>
      <w:rPr>
        <w:rFonts w:hint="eastAsia" w:ascii="黑体" w:eastAsia="黑体"/>
      </w:rPr>
      <w:tab/>
    </w:r>
    <w:r>
      <w:rPr>
        <w:rFonts w:hint="eastAsia" w:ascii="黑体"/>
        <w:sz w:val="24"/>
      </w:rPr>
      <w:t>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0835EF">
    <w:pPr>
      <w:pStyle w:val="2"/>
      <w:rPr>
        <w:b w:val="0"/>
        <w:bCs w:val="0"/>
      </w:rPr>
    </w:pPr>
    <w:r>
      <w:rPr>
        <w:rFonts w:hint="eastAsia"/>
        <w:b w:val="0"/>
        <w:bCs w:val="0"/>
      </w:rPr>
      <w:t>IP240206</w:t>
    </w:r>
  </w:p>
  <w:p w14:paraId="3A09D14A">
    <w:pPr>
      <w:jc w:val="center"/>
      <w:outlineLvl w:val="0"/>
      <w:rPr>
        <w:rFonts w:ascii="黑体"/>
        <w:b/>
        <w:bCs/>
        <w:sz w:val="32"/>
        <w:szCs w:val="28"/>
      </w:rPr>
    </w:pPr>
    <w:r>
      <w:rPr>
        <w:b/>
        <w:bCs/>
        <w:sz w:val="32"/>
        <w:szCs w:val="28"/>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margin">
                <wp:posOffset>-6985</wp:posOffset>
              </wp:positionV>
              <wp:extent cx="5980430" cy="0"/>
              <wp:effectExtent l="0" t="6350" r="0" b="6350"/>
              <wp:wrapNone/>
              <wp:docPr id="7" name="直线 1"/>
              <wp:cNvGraphicFramePr/>
              <a:graphic xmlns:a="http://schemas.openxmlformats.org/drawingml/2006/main">
                <a:graphicData uri="http://schemas.microsoft.com/office/word/2010/wordprocessingShape">
                  <wps:wsp>
                    <wps:cNvCnPr/>
                    <wps:spPr>
                      <a:xfrm flipV="1">
                        <a:off x="0" y="0"/>
                        <a:ext cx="598043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1" o:spid="_x0000_s1026" o:spt="20" style="position:absolute;left:0pt;flip:y;margin-left:-0.05pt;margin-top:-0.55pt;height:0pt;width:470.9pt;mso-position-vertical-relative:margin;z-index:251659264;mso-width-relative:page;mso-height-relative:page;" filled="f" stroked="t" coordsize="21600,21600" o:gfxdata="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WbZa/U&#10;AAAABwEAAA8AAAAAAAAAAQAgAAAAIgAAAGRycy9kb3ducmV2LnhtbFBLAQIUABQAAAAIAIdO4kB+&#10;i4al6wEAAOgDAAAOAAAAAAAAAAEAIAAAACMBAABkcnMvZTJvRG9jLnhtbFBLBQYAAAAABgAGAFkB&#10;AACABQAAAAA=&#10;">
              <v:fill on="f" focussize="0,0"/>
              <v:stroke weight="1pt" color="#000000" joinstyle="round"/>
              <v:imagedata o:title=""/>
              <o:lock v:ext="edit" aspectratio="f"/>
            </v:line>
          </w:pict>
        </mc:Fallback>
      </mc:AlternateContent>
    </w:r>
    <w:r>
      <w:rPr>
        <w:rFonts w:hint="eastAsia"/>
        <w:b/>
        <w:bCs/>
        <w:sz w:val="32"/>
        <w:szCs w:val="28"/>
      </w:rPr>
      <w:t>说　明　书　摘　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782F57">
    <w:pPr>
      <w:pStyle w:val="2"/>
      <w:rPr>
        <w:b w:val="0"/>
        <w:bCs w:val="0"/>
      </w:rPr>
    </w:pPr>
    <w:r>
      <w:rPr>
        <w:rFonts w:hint="eastAsia"/>
        <w:b w:val="0"/>
        <w:bCs w:val="0"/>
      </w:rPr>
      <w:t>IP240206</w:t>
    </w:r>
  </w:p>
  <w:p w14:paraId="21BCEF67">
    <w:pPr>
      <w:jc w:val="center"/>
      <w:outlineLvl w:val="0"/>
      <w:rPr>
        <w:rFonts w:ascii="黑体"/>
        <w:b/>
        <w:bCs/>
        <w:spacing w:val="260"/>
        <w:sz w:val="32"/>
        <w:szCs w:val="28"/>
      </w:rPr>
    </w:pPr>
    <w:r>
      <w:rPr>
        <w:b/>
        <w:bCs/>
        <w:spacing w:val="260"/>
        <w:sz w:val="32"/>
        <w:szCs w:val="28"/>
      </w:rPr>
      <mc:AlternateContent>
        <mc:Choice Requires="wps">
          <w:drawing>
            <wp:anchor distT="0" distB="0" distL="114300" distR="114300" simplePos="0" relativeHeight="251664384" behindDoc="0" locked="0" layoutInCell="1" allowOverlap="1">
              <wp:simplePos x="0" y="0"/>
              <wp:positionH relativeFrom="column">
                <wp:posOffset>-635</wp:posOffset>
              </wp:positionH>
              <wp:positionV relativeFrom="margin">
                <wp:posOffset>-17780</wp:posOffset>
              </wp:positionV>
              <wp:extent cx="5977255" cy="6350"/>
              <wp:effectExtent l="0" t="0" r="0" b="0"/>
              <wp:wrapNone/>
              <wp:docPr id="17" name="直线 16"/>
              <wp:cNvGraphicFramePr/>
              <a:graphic xmlns:a="http://schemas.openxmlformats.org/drawingml/2006/main">
                <a:graphicData uri="http://schemas.microsoft.com/office/word/2010/wordprocessingShape">
                  <wps:wsp>
                    <wps:cNvCnPr/>
                    <wps:spPr>
                      <a:xfrm flipV="1">
                        <a:off x="0" y="0"/>
                        <a:ext cx="5977255" cy="635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16" o:spid="_x0000_s1026" o:spt="20" style="position:absolute;left:0pt;flip:y;margin-left:-0.05pt;margin-top:-1.4pt;height:0.5pt;width:470.65pt;mso-position-vertical-relative:margin;z-index:251664384;mso-width-relative:page;mso-height-relative:page;" filled="f" stroked="t" coordsize="21600,21600" o:gfxdata="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5yxawdYAAAAHAQAADwAAAAAAAAABACAAAAAiAAAAZHJzL2Rvd25yZXYueG1sUEsBAhQAFAAA&#10;AAgAh07iQK0Y7j7xAQAA7QMAAA4AAAAAAAAAAQAgAAAAJQEAAGRycy9lMm9Eb2MueG1sUEsFBgAA&#10;AAAGAAYAWQEAAIgFAAAAAA==&#10;">
              <v:fill on="f" focussize="0,0"/>
              <v:stroke weight="1pt" color="#000000" joinstyle="round"/>
              <v:imagedata o:title=""/>
              <o:lock v:ext="edit" aspectratio="f"/>
            </v:line>
          </w:pict>
        </mc:Fallback>
      </mc:AlternateContent>
    </w:r>
    <w:r>
      <w:rPr>
        <w:rFonts w:hint="eastAsia"/>
        <w:b/>
        <w:bCs/>
        <w:spacing w:val="260"/>
        <w:sz w:val="32"/>
        <w:szCs w:val="28"/>
      </w:rPr>
      <w:t>摘要附图</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ABFECB">
    <w:pPr>
      <w:pStyle w:val="2"/>
      <w:rPr>
        <w:b w:val="0"/>
        <w:bCs w:val="0"/>
      </w:rPr>
    </w:pPr>
    <w:r>
      <w:rPr>
        <w:rFonts w:hint="eastAsia"/>
        <w:b w:val="0"/>
        <w:bCs w:val="0"/>
      </w:rPr>
      <w:t>IP240206</w:t>
    </w:r>
  </w:p>
  <w:p w14:paraId="605A7422">
    <w:pPr>
      <w:jc w:val="center"/>
      <w:outlineLvl w:val="0"/>
      <w:rPr>
        <w:rFonts w:ascii="黑体" w:eastAsia="黑体"/>
        <w:b/>
        <w:bCs/>
        <w:sz w:val="32"/>
        <w:szCs w:val="28"/>
      </w:rPr>
    </w:pPr>
    <w:r>
      <w:rPr>
        <w:rFonts w:eastAsia="黑体"/>
        <w:b/>
        <w:bCs/>
        <w:sz w:val="32"/>
        <w:szCs w:val="28"/>
      </w:rPr>
      <mc:AlternateContent>
        <mc:Choice Requires="wps">
          <w:drawing>
            <wp:anchor distT="0" distB="0" distL="114300" distR="114300" simplePos="0" relativeHeight="251660288" behindDoc="0" locked="1" layoutInCell="1" allowOverlap="1">
              <wp:simplePos x="0" y="0"/>
              <wp:positionH relativeFrom="column">
                <wp:posOffset>-1270</wp:posOffset>
              </wp:positionH>
              <wp:positionV relativeFrom="margin">
                <wp:posOffset>0</wp:posOffset>
              </wp:positionV>
              <wp:extent cx="5986145" cy="0"/>
              <wp:effectExtent l="0" t="6350" r="0" b="6350"/>
              <wp:wrapNone/>
              <wp:docPr id="5" name="直线 6"/>
              <wp:cNvGraphicFramePr/>
              <a:graphic xmlns:a="http://schemas.openxmlformats.org/drawingml/2006/main">
                <a:graphicData uri="http://schemas.microsoft.com/office/word/2010/wordprocessingShape">
                  <wps:wsp>
                    <wps:cNvCnPr/>
                    <wps:spPr>
                      <a:xfrm>
                        <a:off x="0" y="0"/>
                        <a:ext cx="5986145" cy="0"/>
                      </a:xfrm>
                      <a:prstGeom prst="line">
                        <a:avLst/>
                      </a:prstGeom>
                      <a:ln w="12700" cap="flat" cmpd="sng">
                        <a:solidFill>
                          <a:srgbClr val="FFFFFF"/>
                        </a:solidFill>
                        <a:prstDash val="solid"/>
                        <a:headEnd type="none" w="med" len="med"/>
                        <a:tailEnd type="none" w="med" len="med"/>
                      </a:ln>
                      <a:effectLst/>
                    </wps:spPr>
                    <wps:bodyPr/>
                  </wps:wsp>
                </a:graphicData>
              </a:graphic>
            </wp:anchor>
          </w:drawing>
        </mc:Choice>
        <mc:Fallback>
          <w:pict>
            <v:line id="直线 6" o:spid="_x0000_s1026" o:spt="20" style="position:absolute;left:0pt;margin-left:-0.1pt;margin-top:0pt;height:0pt;width:471.35pt;mso-position-vertical-relative:margin;z-index:251660288;mso-width-relative:page;mso-height-relative:page;" filled="f" stroked="t" coordsize="21600,21600" o:gfxdata="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yIKNfTAAAAAwEA&#10;AA8AAAAAAAAAAQAgAAAAIgAAAGRycy9kb3ducmV2LnhtbFBLAQIUABQAAAAIAIdO4kDNyve05gEA&#10;AN4DAAAOAAAAAAAAAAEAIAAAACIBAABkcnMvZTJvRG9jLnhtbFBLBQYAAAAABgAGAFkBAAB6BQAA&#10;AAA=&#10;">
              <v:fill on="f" focussize="0,0"/>
              <v:stroke weight="1pt" color="#FFFFFF" joinstyle="round"/>
              <v:imagedata o:title=""/>
              <o:lock v:ext="edit" aspectratio="f"/>
              <w10:anchorlock/>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3A52A">
    <w:pPr>
      <w:pStyle w:val="2"/>
      <w:rPr>
        <w:b w:val="0"/>
        <w:bCs w:val="0"/>
      </w:rPr>
    </w:pPr>
    <w:r>
      <w:rPr>
        <w:rFonts w:hint="eastAsia"/>
        <w:b w:val="0"/>
        <w:bCs w:val="0"/>
      </w:rPr>
      <w:t>IP240206</w:t>
    </w:r>
  </w:p>
  <w:p w14:paraId="3F0409BC">
    <w:pPr>
      <w:jc w:val="center"/>
      <w:outlineLvl w:val="0"/>
      <w:rPr>
        <w:rFonts w:ascii="黑体"/>
        <w:b/>
        <w:bCs/>
        <w:sz w:val="32"/>
        <w:szCs w:val="28"/>
      </w:rPr>
    </w:pPr>
    <w:r>
      <w:rPr>
        <w:b/>
        <w:bCs/>
        <w:sz w:val="32"/>
        <w:szCs w:val="28"/>
      </w:rPr>
      <mc:AlternateContent>
        <mc:Choice Requires="wps">
          <w:drawing>
            <wp:anchor distT="0" distB="0" distL="114300" distR="114300" simplePos="0" relativeHeight="251661312" behindDoc="0" locked="1" layoutInCell="1" allowOverlap="1">
              <wp:simplePos x="0" y="0"/>
              <wp:positionH relativeFrom="column">
                <wp:posOffset>-1270</wp:posOffset>
              </wp:positionH>
              <wp:positionV relativeFrom="margin">
                <wp:posOffset>0</wp:posOffset>
              </wp:positionV>
              <wp:extent cx="5986780" cy="0"/>
              <wp:effectExtent l="0" t="6350" r="0" b="6350"/>
              <wp:wrapNone/>
              <wp:docPr id="13" name="直线 8"/>
              <wp:cNvGraphicFramePr/>
              <a:graphic xmlns:a="http://schemas.openxmlformats.org/drawingml/2006/main">
                <a:graphicData uri="http://schemas.microsoft.com/office/word/2010/wordprocessingShape">
                  <wps:wsp>
                    <wps:cNvCnPr/>
                    <wps:spPr>
                      <a:xfrm>
                        <a:off x="0" y="0"/>
                        <a:ext cx="5986780" cy="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8" o:spid="_x0000_s1026" o:spt="20" style="position:absolute;left:0pt;margin-left:-0.1pt;margin-top:0pt;height:0pt;width:471.4pt;mso-position-vertical-relative:margin;z-index:251661312;mso-width-relative:page;mso-height-relative:page;" filled="f" stroked="t" coordsize="21600,21600" o:gfxdata="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wilYl9MAAAADAQAA&#10;DwAAAAAAAAABACAAAAAiAAAAZHJzL2Rvd25yZXYueG1sUEsBAhQAFAAAAAgAh07iQC88o67lAQAA&#10;3wMAAA4AAAAAAAAAAQAgAAAAIgEAAGRycy9lMm9Eb2MueG1sUEsFBgAAAAAGAAYAWQEAAHkFAAAA&#10;AA==&#10;">
              <v:fill on="f" focussize="0,0"/>
              <v:stroke weight="1pt" color="#000000" joinstyle="round"/>
              <v:imagedata o:title=""/>
              <o:lock v:ext="edit" aspectratio="f"/>
              <w10:anchorlock/>
            </v:line>
          </w:pict>
        </mc:Fallback>
      </mc:AlternateContent>
    </w:r>
    <w:r>
      <w:rPr>
        <w:rFonts w:hint="eastAsia"/>
        <w:b/>
        <w:bCs/>
        <w:sz w:val="32"/>
        <w:szCs w:val="28"/>
      </w:rPr>
      <w:t>权　利　要　求　书</w:t>
    </w:r>
  </w:p>
  <w:p w14:paraId="18F64F8F">
    <w:pPr>
      <w:pStyle w:val="1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2A81AA">
    <w:pPr>
      <w:pStyle w:val="2"/>
      <w:rPr>
        <w:b w:val="0"/>
        <w:bCs w:val="0"/>
      </w:rPr>
    </w:pPr>
    <w:r>
      <w:rPr>
        <w:rFonts w:hint="eastAsia"/>
        <w:b w:val="0"/>
        <w:bCs w:val="0"/>
      </w:rPr>
      <w:t>IP240206</w:t>
    </w:r>
  </w:p>
  <w:p w14:paraId="63BD4F04">
    <w:pPr>
      <w:jc w:val="center"/>
      <w:outlineLvl w:val="0"/>
      <w:rPr>
        <w:rFonts w:ascii="黑体" w:eastAsia="黑体"/>
        <w:b/>
        <w:bCs/>
        <w:sz w:val="32"/>
        <w:szCs w:val="28"/>
      </w:rPr>
    </w:pPr>
    <w:r>
      <w:rPr>
        <w:rFonts w:eastAsia="黑体"/>
        <w:b/>
        <w:bCs/>
        <w:sz w:val="32"/>
        <w:szCs w:val="28"/>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margin">
                <wp:posOffset>0</wp:posOffset>
              </wp:positionV>
              <wp:extent cx="5958840" cy="0"/>
              <wp:effectExtent l="0" t="6350" r="0" b="6350"/>
              <wp:wrapNone/>
              <wp:docPr id="19" name="直线 34"/>
              <wp:cNvGraphicFramePr/>
              <a:graphic xmlns:a="http://schemas.openxmlformats.org/drawingml/2006/main">
                <a:graphicData uri="http://schemas.microsoft.com/office/word/2010/wordprocessingShape">
                  <wps:wsp>
                    <wps:cNvCnPr/>
                    <wps:spPr>
                      <a:xfrm>
                        <a:off x="0" y="0"/>
                        <a:ext cx="5958840" cy="0"/>
                      </a:xfrm>
                      <a:prstGeom prst="line">
                        <a:avLst/>
                      </a:prstGeom>
                      <a:ln w="12700" cap="flat" cmpd="sng">
                        <a:solidFill>
                          <a:srgbClr val="FFFFFF"/>
                        </a:solidFill>
                        <a:prstDash val="solid"/>
                        <a:headEnd type="none" w="med" len="med"/>
                        <a:tailEnd type="none" w="med" len="med"/>
                      </a:ln>
                      <a:effectLst/>
                    </wps:spPr>
                    <wps:bodyPr/>
                  </wps:wsp>
                </a:graphicData>
              </a:graphic>
            </wp:anchor>
          </w:drawing>
        </mc:Choice>
        <mc:Fallback>
          <w:pict>
            <v:line id="直线 34" o:spid="_x0000_s1026" o:spt="20" style="position:absolute;left:0pt;margin-left:0pt;margin-top:0pt;height:0pt;width:469.2pt;mso-position-vertical-relative:margin;z-index:251666432;mso-width-relative:page;mso-height-relative:page;" filled="f" stroked="t" coordsize="21600,21600" o:gfxdata="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YDsfD0gAAAAIB&#10;AAAPAAAAAAAAAAEAIAAAACIAAABkcnMvZG93bnJldi54bWxQSwECFAAUAAAACACHTuJA8S8WqegB&#10;AADgAwAADgAAAAAAAAABACAAAAAhAQAAZHJzL2Uyb0RvYy54bWxQSwUGAAAAAAYABgBZAQAAewUA&#10;AAAA&#10;">
              <v:fill on="f" focussize="0,0"/>
              <v:stroke weight="1pt" color="#FFFFFF" joinstyle="round"/>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DE6291">
    <w:pPr>
      <w:pStyle w:val="2"/>
      <w:rPr>
        <w:b w:val="0"/>
        <w:bCs w:val="0"/>
      </w:rPr>
    </w:pPr>
    <w:r>
      <w:rPr>
        <w:rFonts w:hint="eastAsia"/>
        <w:b w:val="0"/>
        <w:bCs w:val="0"/>
      </w:rPr>
      <w:t>IP240206</w:t>
    </w:r>
  </w:p>
  <w:p w14:paraId="2F7819FC">
    <w:pPr>
      <w:jc w:val="center"/>
      <w:outlineLvl w:val="0"/>
    </w:pPr>
    <w:r>
      <w:rPr>
        <w:rFonts w:ascii="宋体" w:hAnsi="宋体"/>
        <w:b/>
        <w:bCs/>
        <w:sz w:val="32"/>
      </w:rPr>
      <mc:AlternateContent>
        <mc:Choice Requires="wps">
          <w:drawing>
            <wp:anchor distT="0" distB="0" distL="114300" distR="114300" simplePos="0" relativeHeight="251667456" behindDoc="0" locked="0" layoutInCell="1" allowOverlap="1">
              <wp:simplePos x="0" y="0"/>
              <wp:positionH relativeFrom="column">
                <wp:posOffset>-635</wp:posOffset>
              </wp:positionH>
              <wp:positionV relativeFrom="margin">
                <wp:posOffset>-14605</wp:posOffset>
              </wp:positionV>
              <wp:extent cx="5985510" cy="1270"/>
              <wp:effectExtent l="0" t="0" r="0" b="0"/>
              <wp:wrapNone/>
              <wp:docPr id="21" name="直线 35"/>
              <wp:cNvGraphicFramePr/>
              <a:graphic xmlns:a="http://schemas.openxmlformats.org/drawingml/2006/main">
                <a:graphicData uri="http://schemas.microsoft.com/office/word/2010/wordprocessingShape">
                  <wps:wsp>
                    <wps:cNvCnPr/>
                    <wps:spPr>
                      <a:xfrm>
                        <a:off x="0" y="0"/>
                        <a:ext cx="5985510" cy="1270"/>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35" o:spid="_x0000_s1026" o:spt="20" style="position:absolute;left:0pt;margin-left:-0.05pt;margin-top:-1.15pt;height:0.1pt;width:471.3pt;mso-position-vertical-relative:margin;z-index:251667456;mso-width-relative:page;mso-height-relative:page;" filled="f" stroked="t" coordsize="21600,21600" o:gfxdata="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bFWBo1gAA&#10;AAcBAAAPAAAAAAAAAAEAIAAAACIAAABkcnMvZG93bnJldi54bWxQSwECFAAUAAAACACHTuJA8VOQ&#10;WOcBAADjAwAADgAAAAAAAAABACAAAAAlAQAAZHJzL2Uyb0RvYy54bWxQSwUGAAAAAAYABgBZAQAA&#10;fgUAAAAA&#10;">
              <v:fill on="f" focussize="0,0"/>
              <v:stroke weight="1pt" color="#000000" joinstyle="round"/>
              <v:imagedata o:title=""/>
              <o:lock v:ext="edit" aspectratio="f"/>
            </v:line>
          </w:pict>
        </mc:Fallback>
      </mc:AlternateContent>
    </w:r>
    <w:r>
      <w:rPr>
        <w:rFonts w:hint="eastAsia" w:ascii="宋体" w:hAnsi="宋体"/>
        <w:b/>
        <w:bCs/>
        <w:sz w:val="32"/>
      </w:rPr>
      <w:t>说　明　书</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80674B">
    <w:pPr>
      <w:pStyle w:val="2"/>
      <w:rPr>
        <w:b w:val="0"/>
        <w:bCs w:val="0"/>
      </w:rPr>
    </w:pPr>
    <w:r>
      <w:rPr>
        <w:rFonts w:hint="eastAsia"/>
        <w:b w:val="0"/>
        <w:bCs w:val="0"/>
      </w:rPr>
      <w:t>IP240206</w:t>
    </w:r>
  </w:p>
  <w:p w14:paraId="4F078F7F">
    <w:pPr>
      <w:jc w:val="center"/>
      <w:outlineLvl w:val="0"/>
    </w:pPr>
    <w:r>
      <w:rPr>
        <w:rFonts w:ascii="宋体" w:hAnsi="宋体"/>
        <w:b/>
        <w:bCs/>
        <w:sz w:val="32"/>
      </w:rPr>
      <mc:AlternateContent>
        <mc:Choice Requires="wps">
          <w:drawing>
            <wp:anchor distT="0" distB="0" distL="114300" distR="114300" simplePos="0" relativeHeight="251665408" behindDoc="0" locked="0" layoutInCell="1" allowOverlap="1">
              <wp:simplePos x="0" y="0"/>
              <wp:positionH relativeFrom="column">
                <wp:posOffset>-635</wp:posOffset>
              </wp:positionH>
              <wp:positionV relativeFrom="margin">
                <wp:posOffset>-17780</wp:posOffset>
              </wp:positionV>
              <wp:extent cx="5985510" cy="3175"/>
              <wp:effectExtent l="0" t="0" r="0" b="0"/>
              <wp:wrapNone/>
              <wp:docPr id="18" name="直线 31"/>
              <wp:cNvGraphicFramePr/>
              <a:graphic xmlns:a="http://schemas.openxmlformats.org/drawingml/2006/main">
                <a:graphicData uri="http://schemas.microsoft.com/office/word/2010/wordprocessingShape">
                  <wps:wsp>
                    <wps:cNvCnPr/>
                    <wps:spPr>
                      <a:xfrm flipV="1">
                        <a:off x="0" y="0"/>
                        <a:ext cx="5985510" cy="3175"/>
                      </a:xfrm>
                      <a:prstGeom prst="line">
                        <a:avLst/>
                      </a:prstGeom>
                      <a:ln w="12700" cap="flat" cmpd="sng">
                        <a:solidFill>
                          <a:srgbClr val="000000"/>
                        </a:solidFill>
                        <a:prstDash val="solid"/>
                        <a:headEnd type="none" w="med" len="med"/>
                        <a:tailEnd type="none" w="med" len="med"/>
                      </a:ln>
                      <a:effectLst/>
                    </wps:spPr>
                    <wps:bodyPr/>
                  </wps:wsp>
                </a:graphicData>
              </a:graphic>
            </wp:anchor>
          </w:drawing>
        </mc:Choice>
        <mc:Fallback>
          <w:pict>
            <v:line id="直线 31" o:spid="_x0000_s1026" o:spt="20" style="position:absolute;left:0pt;flip:y;margin-left:-0.05pt;margin-top:-1.4pt;height:0.25pt;width:471.3pt;mso-position-vertical-relative:margin;z-index:251665408;mso-width-relative:page;mso-height-relative:page;" filled="f" stroked="t" coordsize="21600,21600" o:gfxdata="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C7DxTXAAAABwEAAA8AAAAAAAAAAQAgAAAAIgAAAGRycy9kb3ducmV2LnhtbFBLAQIUABQAAAAI&#10;AIdO4kB/lVCI7gEAAO0DAAAOAAAAAAAAAAEAIAAAACYBAABkcnMvZTJvRG9jLnhtbFBLBQYAAAAA&#10;BgAGAFkBAACGBQAAAAA=&#10;">
              <v:fill on="f" focussize="0,0"/>
              <v:stroke weight="1pt" color="#000000" joinstyle="round"/>
              <v:imagedata o:title=""/>
              <o:lock v:ext="edit" aspectratio="f"/>
            </v:line>
          </w:pict>
        </mc:Fallback>
      </mc:AlternateContent>
    </w:r>
    <w:r>
      <w:rPr>
        <w:rFonts w:hint="eastAsia" w:ascii="宋体" w:hAnsi="宋体"/>
        <w:b/>
        <w:bCs/>
        <w:sz w:val="32"/>
      </w:rPr>
      <w:t>说　明　书　附　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420"/>
  <w:drawingGridHorizontalSpacing w:val="13"/>
  <w:drawingGridVerticalSpacing w:val="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FiOWY4ZGM2MGFkMzY1ZDk4Nzk0OThiM2EwODAzOWIifQ=="/>
  </w:docVars>
  <w:rsids>
    <w:rsidRoot w:val="00091059"/>
    <w:rsid w:val="00000586"/>
    <w:rsid w:val="00004557"/>
    <w:rsid w:val="00010272"/>
    <w:rsid w:val="000529FA"/>
    <w:rsid w:val="0007365F"/>
    <w:rsid w:val="00091059"/>
    <w:rsid w:val="000A3509"/>
    <w:rsid w:val="000A47F1"/>
    <w:rsid w:val="000C53A2"/>
    <w:rsid w:val="000C69EA"/>
    <w:rsid w:val="000C6BA6"/>
    <w:rsid w:val="000E467E"/>
    <w:rsid w:val="001054E6"/>
    <w:rsid w:val="00121308"/>
    <w:rsid w:val="0012173E"/>
    <w:rsid w:val="00135610"/>
    <w:rsid w:val="0013666E"/>
    <w:rsid w:val="00142DDD"/>
    <w:rsid w:val="00145BBF"/>
    <w:rsid w:val="001A5964"/>
    <w:rsid w:val="001A7C4A"/>
    <w:rsid w:val="001B66EB"/>
    <w:rsid w:val="001E0DF0"/>
    <w:rsid w:val="001F58AC"/>
    <w:rsid w:val="001F6F79"/>
    <w:rsid w:val="00207FE6"/>
    <w:rsid w:val="00231536"/>
    <w:rsid w:val="002332CF"/>
    <w:rsid w:val="002433E5"/>
    <w:rsid w:val="00247F9F"/>
    <w:rsid w:val="00260032"/>
    <w:rsid w:val="00264093"/>
    <w:rsid w:val="00285525"/>
    <w:rsid w:val="002B7129"/>
    <w:rsid w:val="002F297C"/>
    <w:rsid w:val="002F5FD4"/>
    <w:rsid w:val="003024D1"/>
    <w:rsid w:val="00310A17"/>
    <w:rsid w:val="0031236E"/>
    <w:rsid w:val="003634B4"/>
    <w:rsid w:val="003748B6"/>
    <w:rsid w:val="003A2B85"/>
    <w:rsid w:val="003A701B"/>
    <w:rsid w:val="003B371C"/>
    <w:rsid w:val="003C34D9"/>
    <w:rsid w:val="003D3751"/>
    <w:rsid w:val="003F2835"/>
    <w:rsid w:val="003F3E9D"/>
    <w:rsid w:val="003F5895"/>
    <w:rsid w:val="00417B75"/>
    <w:rsid w:val="004234F8"/>
    <w:rsid w:val="00430F44"/>
    <w:rsid w:val="00444987"/>
    <w:rsid w:val="00444B6E"/>
    <w:rsid w:val="0044688E"/>
    <w:rsid w:val="00481681"/>
    <w:rsid w:val="00481A04"/>
    <w:rsid w:val="00483416"/>
    <w:rsid w:val="004A3203"/>
    <w:rsid w:val="004C3676"/>
    <w:rsid w:val="004F02B4"/>
    <w:rsid w:val="004F7CBA"/>
    <w:rsid w:val="00505FBB"/>
    <w:rsid w:val="00506EA2"/>
    <w:rsid w:val="00507DA2"/>
    <w:rsid w:val="005127A2"/>
    <w:rsid w:val="00550436"/>
    <w:rsid w:val="00597334"/>
    <w:rsid w:val="005A6C04"/>
    <w:rsid w:val="005B6C1D"/>
    <w:rsid w:val="005E2309"/>
    <w:rsid w:val="005E2F46"/>
    <w:rsid w:val="006011DE"/>
    <w:rsid w:val="00601937"/>
    <w:rsid w:val="006051CB"/>
    <w:rsid w:val="0060643C"/>
    <w:rsid w:val="00611201"/>
    <w:rsid w:val="006120A9"/>
    <w:rsid w:val="00630A95"/>
    <w:rsid w:val="0064121E"/>
    <w:rsid w:val="00675DDF"/>
    <w:rsid w:val="006B0B3E"/>
    <w:rsid w:val="006B7BAA"/>
    <w:rsid w:val="006C4405"/>
    <w:rsid w:val="006F51D4"/>
    <w:rsid w:val="006F53DB"/>
    <w:rsid w:val="00704CAF"/>
    <w:rsid w:val="007111DD"/>
    <w:rsid w:val="00716261"/>
    <w:rsid w:val="0074271F"/>
    <w:rsid w:val="00755344"/>
    <w:rsid w:val="007579D1"/>
    <w:rsid w:val="007B6504"/>
    <w:rsid w:val="007D3488"/>
    <w:rsid w:val="0080109D"/>
    <w:rsid w:val="008117D9"/>
    <w:rsid w:val="008153DD"/>
    <w:rsid w:val="008439E2"/>
    <w:rsid w:val="00845C47"/>
    <w:rsid w:val="00865CD1"/>
    <w:rsid w:val="008966F6"/>
    <w:rsid w:val="008B0655"/>
    <w:rsid w:val="008B2C35"/>
    <w:rsid w:val="008C060C"/>
    <w:rsid w:val="008C0C76"/>
    <w:rsid w:val="008C3240"/>
    <w:rsid w:val="008E3798"/>
    <w:rsid w:val="00932554"/>
    <w:rsid w:val="00965276"/>
    <w:rsid w:val="0097317A"/>
    <w:rsid w:val="0097604C"/>
    <w:rsid w:val="00980179"/>
    <w:rsid w:val="009A78E3"/>
    <w:rsid w:val="009B1766"/>
    <w:rsid w:val="009B78DC"/>
    <w:rsid w:val="009C3798"/>
    <w:rsid w:val="009D1029"/>
    <w:rsid w:val="009F0444"/>
    <w:rsid w:val="009F0BD2"/>
    <w:rsid w:val="009F48CA"/>
    <w:rsid w:val="009F49D6"/>
    <w:rsid w:val="00A01CAC"/>
    <w:rsid w:val="00A076AC"/>
    <w:rsid w:val="00A10898"/>
    <w:rsid w:val="00A4676A"/>
    <w:rsid w:val="00A62D5B"/>
    <w:rsid w:val="00A840C3"/>
    <w:rsid w:val="00A969E4"/>
    <w:rsid w:val="00AC2C9B"/>
    <w:rsid w:val="00AC4C1A"/>
    <w:rsid w:val="00AD5E3E"/>
    <w:rsid w:val="00B21955"/>
    <w:rsid w:val="00B3463C"/>
    <w:rsid w:val="00B5048D"/>
    <w:rsid w:val="00B65846"/>
    <w:rsid w:val="00B82F9B"/>
    <w:rsid w:val="00B863F6"/>
    <w:rsid w:val="00BB67AC"/>
    <w:rsid w:val="00BB76EA"/>
    <w:rsid w:val="00BC10F9"/>
    <w:rsid w:val="00BE73DD"/>
    <w:rsid w:val="00BF3908"/>
    <w:rsid w:val="00C10BD2"/>
    <w:rsid w:val="00C1496F"/>
    <w:rsid w:val="00C17295"/>
    <w:rsid w:val="00C17E08"/>
    <w:rsid w:val="00C262B0"/>
    <w:rsid w:val="00C3450F"/>
    <w:rsid w:val="00C45E0B"/>
    <w:rsid w:val="00C525DF"/>
    <w:rsid w:val="00C6730F"/>
    <w:rsid w:val="00C75091"/>
    <w:rsid w:val="00C835C6"/>
    <w:rsid w:val="00C8727D"/>
    <w:rsid w:val="00CA64D4"/>
    <w:rsid w:val="00CB61F9"/>
    <w:rsid w:val="00CC28C4"/>
    <w:rsid w:val="00CD14E3"/>
    <w:rsid w:val="00CD41A9"/>
    <w:rsid w:val="00CE59AD"/>
    <w:rsid w:val="00D33420"/>
    <w:rsid w:val="00D34996"/>
    <w:rsid w:val="00D71581"/>
    <w:rsid w:val="00D839AA"/>
    <w:rsid w:val="00D862E3"/>
    <w:rsid w:val="00D9519E"/>
    <w:rsid w:val="00DA5415"/>
    <w:rsid w:val="00DB2A17"/>
    <w:rsid w:val="00DB7B88"/>
    <w:rsid w:val="00DD2022"/>
    <w:rsid w:val="00DE6513"/>
    <w:rsid w:val="00DF6518"/>
    <w:rsid w:val="00E036C9"/>
    <w:rsid w:val="00E16095"/>
    <w:rsid w:val="00E257EA"/>
    <w:rsid w:val="00E55196"/>
    <w:rsid w:val="00E9705D"/>
    <w:rsid w:val="00ED2A82"/>
    <w:rsid w:val="00ED43DF"/>
    <w:rsid w:val="00ED7A5E"/>
    <w:rsid w:val="00ED7F21"/>
    <w:rsid w:val="00EE37DC"/>
    <w:rsid w:val="00EF0C91"/>
    <w:rsid w:val="00EF27D9"/>
    <w:rsid w:val="00F25818"/>
    <w:rsid w:val="00F41971"/>
    <w:rsid w:val="00F43739"/>
    <w:rsid w:val="00F55D9C"/>
    <w:rsid w:val="00F57B65"/>
    <w:rsid w:val="00F62EA5"/>
    <w:rsid w:val="00F70A2A"/>
    <w:rsid w:val="00F81919"/>
    <w:rsid w:val="00F8302F"/>
    <w:rsid w:val="00F8447C"/>
    <w:rsid w:val="00FC5328"/>
    <w:rsid w:val="013C5149"/>
    <w:rsid w:val="01526D5B"/>
    <w:rsid w:val="01537031"/>
    <w:rsid w:val="016814B1"/>
    <w:rsid w:val="01904931"/>
    <w:rsid w:val="01D60D6E"/>
    <w:rsid w:val="01FB5885"/>
    <w:rsid w:val="03141C88"/>
    <w:rsid w:val="03553CE2"/>
    <w:rsid w:val="03903938"/>
    <w:rsid w:val="046D6DDE"/>
    <w:rsid w:val="05197A46"/>
    <w:rsid w:val="0574630F"/>
    <w:rsid w:val="06500C0A"/>
    <w:rsid w:val="067E6477"/>
    <w:rsid w:val="0760450E"/>
    <w:rsid w:val="080675C6"/>
    <w:rsid w:val="08330AC9"/>
    <w:rsid w:val="08B20E67"/>
    <w:rsid w:val="0923785C"/>
    <w:rsid w:val="094B5ABE"/>
    <w:rsid w:val="09953F56"/>
    <w:rsid w:val="0A3E7712"/>
    <w:rsid w:val="0AB40F09"/>
    <w:rsid w:val="0ACB0080"/>
    <w:rsid w:val="0AEB439B"/>
    <w:rsid w:val="0B892750"/>
    <w:rsid w:val="0BA90CD8"/>
    <w:rsid w:val="0BD7690F"/>
    <w:rsid w:val="0BDD17A8"/>
    <w:rsid w:val="0BE56F9B"/>
    <w:rsid w:val="0C5E675A"/>
    <w:rsid w:val="0C7B5E91"/>
    <w:rsid w:val="0C7E799C"/>
    <w:rsid w:val="0CC5449F"/>
    <w:rsid w:val="0E3D4B73"/>
    <w:rsid w:val="0E6F16FD"/>
    <w:rsid w:val="0E7F4AFC"/>
    <w:rsid w:val="0E8C568E"/>
    <w:rsid w:val="0EF80318"/>
    <w:rsid w:val="0F2A4A19"/>
    <w:rsid w:val="0F794E14"/>
    <w:rsid w:val="10054D47"/>
    <w:rsid w:val="105F26EE"/>
    <w:rsid w:val="1065378B"/>
    <w:rsid w:val="106F33AB"/>
    <w:rsid w:val="109127D2"/>
    <w:rsid w:val="109441D7"/>
    <w:rsid w:val="109E25B3"/>
    <w:rsid w:val="10AD2E30"/>
    <w:rsid w:val="10E223BA"/>
    <w:rsid w:val="10FF17E1"/>
    <w:rsid w:val="113C6CB1"/>
    <w:rsid w:val="118D3F97"/>
    <w:rsid w:val="11B51ED0"/>
    <w:rsid w:val="11E64458"/>
    <w:rsid w:val="126270B5"/>
    <w:rsid w:val="12631F4C"/>
    <w:rsid w:val="12F05227"/>
    <w:rsid w:val="130F79DE"/>
    <w:rsid w:val="1319232B"/>
    <w:rsid w:val="13215B7A"/>
    <w:rsid w:val="13760CB3"/>
    <w:rsid w:val="13823592"/>
    <w:rsid w:val="13BE4CBF"/>
    <w:rsid w:val="13F404BD"/>
    <w:rsid w:val="142E3A63"/>
    <w:rsid w:val="143019C9"/>
    <w:rsid w:val="147117CA"/>
    <w:rsid w:val="15086009"/>
    <w:rsid w:val="150D4B3C"/>
    <w:rsid w:val="151F7D4C"/>
    <w:rsid w:val="15A33DD3"/>
    <w:rsid w:val="15C240DE"/>
    <w:rsid w:val="1626576B"/>
    <w:rsid w:val="167C4D4C"/>
    <w:rsid w:val="16DE7DF3"/>
    <w:rsid w:val="1704790F"/>
    <w:rsid w:val="17735D53"/>
    <w:rsid w:val="17EF7C64"/>
    <w:rsid w:val="17F04282"/>
    <w:rsid w:val="18093805"/>
    <w:rsid w:val="18430374"/>
    <w:rsid w:val="186C2C50"/>
    <w:rsid w:val="189F1804"/>
    <w:rsid w:val="18AC01C0"/>
    <w:rsid w:val="18AC22C0"/>
    <w:rsid w:val="19175DE2"/>
    <w:rsid w:val="19576287"/>
    <w:rsid w:val="19B76077"/>
    <w:rsid w:val="19CA0B03"/>
    <w:rsid w:val="1A13713E"/>
    <w:rsid w:val="1A8D6884"/>
    <w:rsid w:val="1BA4433E"/>
    <w:rsid w:val="1BB00CFA"/>
    <w:rsid w:val="1BBF392E"/>
    <w:rsid w:val="1BE513EC"/>
    <w:rsid w:val="1BE76E4D"/>
    <w:rsid w:val="1C322529"/>
    <w:rsid w:val="1CB6025A"/>
    <w:rsid w:val="1CC431DD"/>
    <w:rsid w:val="1CEC70D0"/>
    <w:rsid w:val="1D465A18"/>
    <w:rsid w:val="1D683AAA"/>
    <w:rsid w:val="1D9674B8"/>
    <w:rsid w:val="1D9F1CD5"/>
    <w:rsid w:val="1DBA0296"/>
    <w:rsid w:val="1DF83F71"/>
    <w:rsid w:val="1E052308"/>
    <w:rsid w:val="1E272345"/>
    <w:rsid w:val="1EAC6A29"/>
    <w:rsid w:val="1ED65F6B"/>
    <w:rsid w:val="1F5360D0"/>
    <w:rsid w:val="1F9C2232"/>
    <w:rsid w:val="1FC9357D"/>
    <w:rsid w:val="2130715C"/>
    <w:rsid w:val="21627873"/>
    <w:rsid w:val="21A35D19"/>
    <w:rsid w:val="21E05D1D"/>
    <w:rsid w:val="21E533F6"/>
    <w:rsid w:val="22120940"/>
    <w:rsid w:val="22215EE1"/>
    <w:rsid w:val="22682C67"/>
    <w:rsid w:val="226F3FF6"/>
    <w:rsid w:val="22BE3F35"/>
    <w:rsid w:val="22EF3388"/>
    <w:rsid w:val="23462ABC"/>
    <w:rsid w:val="234942DA"/>
    <w:rsid w:val="23892F56"/>
    <w:rsid w:val="23971A56"/>
    <w:rsid w:val="24040F03"/>
    <w:rsid w:val="247F7138"/>
    <w:rsid w:val="24EE2652"/>
    <w:rsid w:val="26B642C6"/>
    <w:rsid w:val="273032D5"/>
    <w:rsid w:val="274574FA"/>
    <w:rsid w:val="2760521E"/>
    <w:rsid w:val="27CC5A46"/>
    <w:rsid w:val="281B1EF0"/>
    <w:rsid w:val="281F201A"/>
    <w:rsid w:val="28E3573D"/>
    <w:rsid w:val="29620E09"/>
    <w:rsid w:val="29C96BF4"/>
    <w:rsid w:val="2A5A7960"/>
    <w:rsid w:val="2A805674"/>
    <w:rsid w:val="2AA65135"/>
    <w:rsid w:val="2AA71CAD"/>
    <w:rsid w:val="2AEA3970"/>
    <w:rsid w:val="2B7F2EDD"/>
    <w:rsid w:val="2BB76293"/>
    <w:rsid w:val="2BB919B0"/>
    <w:rsid w:val="2C054F06"/>
    <w:rsid w:val="2C8636E0"/>
    <w:rsid w:val="2DDC2373"/>
    <w:rsid w:val="2E4152A3"/>
    <w:rsid w:val="2E783857"/>
    <w:rsid w:val="2ECE696E"/>
    <w:rsid w:val="2EFC531F"/>
    <w:rsid w:val="2F9F098C"/>
    <w:rsid w:val="2FA01572"/>
    <w:rsid w:val="2FC67ECE"/>
    <w:rsid w:val="2FD67D53"/>
    <w:rsid w:val="2FE74712"/>
    <w:rsid w:val="300E5A6A"/>
    <w:rsid w:val="301F472C"/>
    <w:rsid w:val="3068785C"/>
    <w:rsid w:val="307D7B64"/>
    <w:rsid w:val="30B455C3"/>
    <w:rsid w:val="30D047F9"/>
    <w:rsid w:val="30DB5A0E"/>
    <w:rsid w:val="319B28B6"/>
    <w:rsid w:val="31B96164"/>
    <w:rsid w:val="31DB28E5"/>
    <w:rsid w:val="323E39E4"/>
    <w:rsid w:val="32774B55"/>
    <w:rsid w:val="32797F97"/>
    <w:rsid w:val="32CD47D2"/>
    <w:rsid w:val="32F12805"/>
    <w:rsid w:val="335273D2"/>
    <w:rsid w:val="33AB4785"/>
    <w:rsid w:val="33F54F4C"/>
    <w:rsid w:val="341744ED"/>
    <w:rsid w:val="344A245D"/>
    <w:rsid w:val="34571D69"/>
    <w:rsid w:val="35445EB6"/>
    <w:rsid w:val="35541924"/>
    <w:rsid w:val="3652205A"/>
    <w:rsid w:val="36E14340"/>
    <w:rsid w:val="36E908B5"/>
    <w:rsid w:val="37160F73"/>
    <w:rsid w:val="374F1E77"/>
    <w:rsid w:val="377333AC"/>
    <w:rsid w:val="377F4145"/>
    <w:rsid w:val="37DE68D5"/>
    <w:rsid w:val="380F3E59"/>
    <w:rsid w:val="383F6BBE"/>
    <w:rsid w:val="38877E93"/>
    <w:rsid w:val="389E0F6B"/>
    <w:rsid w:val="396B1896"/>
    <w:rsid w:val="39A700C1"/>
    <w:rsid w:val="3A2D1365"/>
    <w:rsid w:val="3A975D4B"/>
    <w:rsid w:val="3AFD3F7F"/>
    <w:rsid w:val="3B092E7E"/>
    <w:rsid w:val="3B203F23"/>
    <w:rsid w:val="3B2C0F36"/>
    <w:rsid w:val="3B3A3D5E"/>
    <w:rsid w:val="3B7C01F1"/>
    <w:rsid w:val="3B8D24E6"/>
    <w:rsid w:val="3B9225B3"/>
    <w:rsid w:val="3B9E0898"/>
    <w:rsid w:val="3B9F7D06"/>
    <w:rsid w:val="3BB54D17"/>
    <w:rsid w:val="3C7E6E47"/>
    <w:rsid w:val="3CD1143F"/>
    <w:rsid w:val="3CD228A2"/>
    <w:rsid w:val="3D3D7B74"/>
    <w:rsid w:val="3D553FD0"/>
    <w:rsid w:val="3D7F739F"/>
    <w:rsid w:val="3D8539BF"/>
    <w:rsid w:val="3D8A6C96"/>
    <w:rsid w:val="3E2E211C"/>
    <w:rsid w:val="3F8C2233"/>
    <w:rsid w:val="408560B9"/>
    <w:rsid w:val="4090227A"/>
    <w:rsid w:val="40F938F8"/>
    <w:rsid w:val="4139793F"/>
    <w:rsid w:val="416A5175"/>
    <w:rsid w:val="41775B57"/>
    <w:rsid w:val="42654264"/>
    <w:rsid w:val="42AB366A"/>
    <w:rsid w:val="42D71611"/>
    <w:rsid w:val="42F425C9"/>
    <w:rsid w:val="42FC2D82"/>
    <w:rsid w:val="431D1A5B"/>
    <w:rsid w:val="43364B1F"/>
    <w:rsid w:val="43533363"/>
    <w:rsid w:val="43EF7BAE"/>
    <w:rsid w:val="44261981"/>
    <w:rsid w:val="44610850"/>
    <w:rsid w:val="44610E17"/>
    <w:rsid w:val="448E630C"/>
    <w:rsid w:val="44B91935"/>
    <w:rsid w:val="44E42618"/>
    <w:rsid w:val="45DD1C28"/>
    <w:rsid w:val="463E4C57"/>
    <w:rsid w:val="46AA594B"/>
    <w:rsid w:val="46C50088"/>
    <w:rsid w:val="46DC026B"/>
    <w:rsid w:val="47282841"/>
    <w:rsid w:val="48056462"/>
    <w:rsid w:val="480F69B8"/>
    <w:rsid w:val="482247F8"/>
    <w:rsid w:val="48275390"/>
    <w:rsid w:val="48BC6162"/>
    <w:rsid w:val="48F24ED2"/>
    <w:rsid w:val="48FE76F5"/>
    <w:rsid w:val="494607AA"/>
    <w:rsid w:val="494E4033"/>
    <w:rsid w:val="49544271"/>
    <w:rsid w:val="497C6ECC"/>
    <w:rsid w:val="49D56585"/>
    <w:rsid w:val="49E86777"/>
    <w:rsid w:val="4A425E55"/>
    <w:rsid w:val="4A5B014D"/>
    <w:rsid w:val="4A793F49"/>
    <w:rsid w:val="4AC807D8"/>
    <w:rsid w:val="4AD31688"/>
    <w:rsid w:val="4B086F5C"/>
    <w:rsid w:val="4B615C22"/>
    <w:rsid w:val="4B6F229C"/>
    <w:rsid w:val="4BE15E2A"/>
    <w:rsid w:val="4C004A2A"/>
    <w:rsid w:val="4C540463"/>
    <w:rsid w:val="4C5C0D95"/>
    <w:rsid w:val="4C7D1102"/>
    <w:rsid w:val="4CAE100B"/>
    <w:rsid w:val="4CEF56EB"/>
    <w:rsid w:val="4D2E63CD"/>
    <w:rsid w:val="4D341CD1"/>
    <w:rsid w:val="4D4759EB"/>
    <w:rsid w:val="4D6B3F3E"/>
    <w:rsid w:val="4E0D35D7"/>
    <w:rsid w:val="4E713DA0"/>
    <w:rsid w:val="4E9E69E3"/>
    <w:rsid w:val="4EA85B67"/>
    <w:rsid w:val="4EAD3A7D"/>
    <w:rsid w:val="4ED77DCE"/>
    <w:rsid w:val="4EDD6607"/>
    <w:rsid w:val="4F5D2633"/>
    <w:rsid w:val="4F9A7A65"/>
    <w:rsid w:val="4FC43C9F"/>
    <w:rsid w:val="5012266D"/>
    <w:rsid w:val="512B245B"/>
    <w:rsid w:val="51540057"/>
    <w:rsid w:val="515653F8"/>
    <w:rsid w:val="51E8733C"/>
    <w:rsid w:val="524633BC"/>
    <w:rsid w:val="52566D31"/>
    <w:rsid w:val="527271D3"/>
    <w:rsid w:val="528A050C"/>
    <w:rsid w:val="529C2335"/>
    <w:rsid w:val="52D83434"/>
    <w:rsid w:val="53406058"/>
    <w:rsid w:val="53582429"/>
    <w:rsid w:val="54DA0491"/>
    <w:rsid w:val="552C1CB4"/>
    <w:rsid w:val="55503050"/>
    <w:rsid w:val="55982429"/>
    <w:rsid w:val="560A3B37"/>
    <w:rsid w:val="56284729"/>
    <w:rsid w:val="56FA0406"/>
    <w:rsid w:val="56FF1BFD"/>
    <w:rsid w:val="57363760"/>
    <w:rsid w:val="573772D2"/>
    <w:rsid w:val="5787042A"/>
    <w:rsid w:val="57C40364"/>
    <w:rsid w:val="58105910"/>
    <w:rsid w:val="58CA6F94"/>
    <w:rsid w:val="58E0679F"/>
    <w:rsid w:val="599A7084"/>
    <w:rsid w:val="59CE12D4"/>
    <w:rsid w:val="5A291560"/>
    <w:rsid w:val="5A3115B5"/>
    <w:rsid w:val="5A3971C9"/>
    <w:rsid w:val="5A6A43A4"/>
    <w:rsid w:val="5B0E21B2"/>
    <w:rsid w:val="5B241688"/>
    <w:rsid w:val="5B361FDC"/>
    <w:rsid w:val="5B927727"/>
    <w:rsid w:val="5C5F065B"/>
    <w:rsid w:val="5C7F7614"/>
    <w:rsid w:val="5CA05F02"/>
    <w:rsid w:val="5D147490"/>
    <w:rsid w:val="5D215911"/>
    <w:rsid w:val="5D352408"/>
    <w:rsid w:val="5D375541"/>
    <w:rsid w:val="5D395EA7"/>
    <w:rsid w:val="5D816A5C"/>
    <w:rsid w:val="5DD31688"/>
    <w:rsid w:val="5E207506"/>
    <w:rsid w:val="5EB3019A"/>
    <w:rsid w:val="5F385B07"/>
    <w:rsid w:val="5F507FA4"/>
    <w:rsid w:val="5F6F79D7"/>
    <w:rsid w:val="5F85396A"/>
    <w:rsid w:val="5F9624DB"/>
    <w:rsid w:val="5FBC1BE4"/>
    <w:rsid w:val="60082773"/>
    <w:rsid w:val="601B6F8F"/>
    <w:rsid w:val="601B7632"/>
    <w:rsid w:val="604E12DA"/>
    <w:rsid w:val="609F4530"/>
    <w:rsid w:val="60C34F31"/>
    <w:rsid w:val="616109D2"/>
    <w:rsid w:val="617B4E3D"/>
    <w:rsid w:val="619278C7"/>
    <w:rsid w:val="61A961C3"/>
    <w:rsid w:val="61D52403"/>
    <w:rsid w:val="61DF25B5"/>
    <w:rsid w:val="61EE0C4A"/>
    <w:rsid w:val="61FB5C57"/>
    <w:rsid w:val="626A18FE"/>
    <w:rsid w:val="62C51434"/>
    <w:rsid w:val="62CE1125"/>
    <w:rsid w:val="634E31D8"/>
    <w:rsid w:val="63884FFD"/>
    <w:rsid w:val="63E519F5"/>
    <w:rsid w:val="64305D35"/>
    <w:rsid w:val="646062D5"/>
    <w:rsid w:val="64C65414"/>
    <w:rsid w:val="65241F3A"/>
    <w:rsid w:val="65242C4F"/>
    <w:rsid w:val="65244685"/>
    <w:rsid w:val="65636DE7"/>
    <w:rsid w:val="65B5753E"/>
    <w:rsid w:val="65BB1DBF"/>
    <w:rsid w:val="65D532A9"/>
    <w:rsid w:val="661416CD"/>
    <w:rsid w:val="663464B4"/>
    <w:rsid w:val="6635067F"/>
    <w:rsid w:val="66482C0E"/>
    <w:rsid w:val="66E25EBC"/>
    <w:rsid w:val="66E96411"/>
    <w:rsid w:val="670F3849"/>
    <w:rsid w:val="67474701"/>
    <w:rsid w:val="679D028A"/>
    <w:rsid w:val="67BE7DA2"/>
    <w:rsid w:val="67BF0530"/>
    <w:rsid w:val="67C3106F"/>
    <w:rsid w:val="683912DA"/>
    <w:rsid w:val="6839690C"/>
    <w:rsid w:val="685E7222"/>
    <w:rsid w:val="6860371C"/>
    <w:rsid w:val="68874C61"/>
    <w:rsid w:val="68AB33AE"/>
    <w:rsid w:val="68EA49E1"/>
    <w:rsid w:val="69A21DCC"/>
    <w:rsid w:val="6A8577AC"/>
    <w:rsid w:val="6AAB6CFC"/>
    <w:rsid w:val="6AB302C8"/>
    <w:rsid w:val="6AE6450C"/>
    <w:rsid w:val="6AE85CC0"/>
    <w:rsid w:val="6AEC001B"/>
    <w:rsid w:val="6B362C47"/>
    <w:rsid w:val="6B7028B8"/>
    <w:rsid w:val="6B956C61"/>
    <w:rsid w:val="6B9E6D0D"/>
    <w:rsid w:val="6BEE4FE2"/>
    <w:rsid w:val="6C7011FD"/>
    <w:rsid w:val="6C743B8D"/>
    <w:rsid w:val="6CC05CE4"/>
    <w:rsid w:val="6CC85207"/>
    <w:rsid w:val="6CEC6BA2"/>
    <w:rsid w:val="6D127270"/>
    <w:rsid w:val="6E313AD8"/>
    <w:rsid w:val="6E3F220C"/>
    <w:rsid w:val="6E47360F"/>
    <w:rsid w:val="6EED2A2A"/>
    <w:rsid w:val="6F7915DC"/>
    <w:rsid w:val="6FDE7692"/>
    <w:rsid w:val="70287904"/>
    <w:rsid w:val="70763D6E"/>
    <w:rsid w:val="70811594"/>
    <w:rsid w:val="70E41D35"/>
    <w:rsid w:val="718378EA"/>
    <w:rsid w:val="71896D9D"/>
    <w:rsid w:val="729F135A"/>
    <w:rsid w:val="72FB6657"/>
    <w:rsid w:val="732A1DC0"/>
    <w:rsid w:val="732E20D8"/>
    <w:rsid w:val="73674297"/>
    <w:rsid w:val="73B73648"/>
    <w:rsid w:val="73B87C96"/>
    <w:rsid w:val="73E97A9C"/>
    <w:rsid w:val="745D4232"/>
    <w:rsid w:val="74C91F1E"/>
    <w:rsid w:val="7590142E"/>
    <w:rsid w:val="75D66A64"/>
    <w:rsid w:val="760B2679"/>
    <w:rsid w:val="760B3C73"/>
    <w:rsid w:val="763A0682"/>
    <w:rsid w:val="777F6039"/>
    <w:rsid w:val="77F308F5"/>
    <w:rsid w:val="78270DB7"/>
    <w:rsid w:val="786414CF"/>
    <w:rsid w:val="78E260ED"/>
    <w:rsid w:val="79861940"/>
    <w:rsid w:val="799720F5"/>
    <w:rsid w:val="799D6817"/>
    <w:rsid w:val="7AA33472"/>
    <w:rsid w:val="7AFF2A1F"/>
    <w:rsid w:val="7BCC2C9C"/>
    <w:rsid w:val="7D140B97"/>
    <w:rsid w:val="7D2957A1"/>
    <w:rsid w:val="7D567681"/>
    <w:rsid w:val="7DE62736"/>
    <w:rsid w:val="7E1B55BE"/>
    <w:rsid w:val="7E6942E4"/>
    <w:rsid w:val="7E7344B8"/>
    <w:rsid w:val="7F5C0236"/>
    <w:rsid w:val="7F8614A3"/>
    <w:rsid w:val="7FAB3A34"/>
    <w:rsid w:val="7FB65B5D"/>
    <w:rsid w:val="7FC26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keepNext/>
      <w:jc w:val="right"/>
      <w:outlineLvl w:val="0"/>
    </w:pPr>
    <w:rPr>
      <w:rFonts w:ascii="Arial" w:hAnsi="Arial" w:cs="Arial"/>
      <w:b/>
      <w:bCs/>
      <w:sz w:val="18"/>
      <w:szCs w:val="28"/>
    </w:rPr>
  </w:style>
  <w:style w:type="paragraph" w:styleId="3">
    <w:name w:val="heading 2"/>
    <w:basedOn w:val="1"/>
    <w:next w:val="1"/>
    <w:autoRedefine/>
    <w:semiHidden/>
    <w:unhideWhenUsed/>
    <w:qFormat/>
    <w:uiPriority w:val="0"/>
    <w:pPr>
      <w:spacing w:beforeAutospacing="1" w:afterAutospacing="1"/>
      <w:jc w:val="left"/>
      <w:outlineLvl w:val="1"/>
    </w:pPr>
    <w:rPr>
      <w:rFonts w:hint="eastAsia" w:ascii="宋体" w:hAnsi="宋体"/>
      <w:b/>
      <w:bCs/>
      <w:kern w:val="0"/>
      <w:sz w:val="36"/>
      <w:szCs w:val="36"/>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annotation text"/>
    <w:basedOn w:val="1"/>
    <w:autoRedefine/>
    <w:semiHidden/>
    <w:qFormat/>
    <w:uiPriority w:val="0"/>
    <w:pPr>
      <w:jc w:val="left"/>
    </w:pPr>
  </w:style>
  <w:style w:type="paragraph" w:styleId="5">
    <w:name w:val="Body Text"/>
    <w:basedOn w:val="1"/>
    <w:next w:val="1"/>
    <w:autoRedefine/>
    <w:qFormat/>
    <w:uiPriority w:val="0"/>
    <w:rPr>
      <w:sz w:val="28"/>
      <w:szCs w:val="20"/>
    </w:rPr>
  </w:style>
  <w:style w:type="paragraph" w:styleId="6">
    <w:name w:val="Body Text Indent"/>
    <w:basedOn w:val="1"/>
    <w:autoRedefine/>
    <w:qFormat/>
    <w:uiPriority w:val="0"/>
    <w:pPr>
      <w:spacing w:line="580" w:lineRule="exact"/>
      <w:ind w:firstLine="560" w:firstLineChars="200"/>
    </w:pPr>
    <w:rPr>
      <w:rFonts w:eastAsia="楷体_GB2312"/>
      <w:bCs/>
      <w:sz w:val="28"/>
      <w:szCs w:val="20"/>
    </w:rPr>
  </w:style>
  <w:style w:type="paragraph" w:styleId="7">
    <w:name w:val="Body Text Indent 2"/>
    <w:basedOn w:val="1"/>
    <w:autoRedefine/>
    <w:qFormat/>
    <w:uiPriority w:val="0"/>
    <w:pPr>
      <w:tabs>
        <w:tab w:val="left" w:pos="480"/>
      </w:tabs>
      <w:autoSpaceDE w:val="0"/>
      <w:autoSpaceDN w:val="0"/>
      <w:adjustRightInd w:val="0"/>
      <w:spacing w:line="360" w:lineRule="auto"/>
      <w:ind w:left="420" w:leftChars="175" w:firstLine="504" w:firstLineChars="210"/>
    </w:pPr>
    <w:rPr>
      <w:rFonts w:ascii="仿宋_GB2312" w:eastAsia="仿宋_GB2312"/>
      <w:lang w:val="zh-CN"/>
    </w:rPr>
  </w:style>
  <w:style w:type="paragraph" w:styleId="8">
    <w:name w:val="Balloon Text"/>
    <w:basedOn w:val="1"/>
    <w:autoRedefine/>
    <w:semiHidden/>
    <w:qFormat/>
    <w:uiPriority w:val="0"/>
    <w:rPr>
      <w:sz w:val="18"/>
      <w:szCs w:val="18"/>
    </w:rPr>
  </w:style>
  <w:style w:type="paragraph" w:styleId="9">
    <w:name w:val="footer"/>
    <w:basedOn w:val="1"/>
    <w:link w:val="22"/>
    <w:autoRedefine/>
    <w:qFormat/>
    <w:uiPriority w:val="0"/>
    <w:pPr>
      <w:tabs>
        <w:tab w:val="center" w:pos="4153"/>
        <w:tab w:val="right" w:pos="8306"/>
      </w:tabs>
      <w:snapToGrid w:val="0"/>
      <w:jc w:val="left"/>
    </w:pPr>
    <w:rPr>
      <w:sz w:val="18"/>
      <w:szCs w:val="20"/>
    </w:rPr>
  </w:style>
  <w:style w:type="paragraph" w:styleId="10">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1">
    <w:name w:val="Body Text Indent 3"/>
    <w:basedOn w:val="1"/>
    <w:link w:val="23"/>
    <w:autoRedefine/>
    <w:qFormat/>
    <w:uiPriority w:val="0"/>
    <w:pPr>
      <w:snapToGrid w:val="0"/>
      <w:spacing w:line="480" w:lineRule="exact"/>
      <w:ind w:firstLine="556"/>
    </w:pPr>
    <w:rPr>
      <w:rFonts w:eastAsia="楷体_GB2312"/>
      <w:color w:val="000000"/>
      <w:sz w:val="28"/>
      <w:szCs w:val="20"/>
    </w:rPr>
  </w:style>
  <w:style w:type="paragraph" w:styleId="12">
    <w:name w:val="Normal (Web)"/>
    <w:basedOn w:val="1"/>
    <w:autoRedefine/>
    <w:qFormat/>
    <w:uiPriority w:val="0"/>
    <w:pPr>
      <w:spacing w:before="100" w:beforeAutospacing="1" w:after="100" w:afterAutospacing="1"/>
      <w:jc w:val="left"/>
    </w:pPr>
    <w:rPr>
      <w:kern w:val="0"/>
      <w:sz w:val="24"/>
    </w:rPr>
  </w:style>
  <w:style w:type="paragraph" w:styleId="13">
    <w:name w:val="annotation subject"/>
    <w:basedOn w:val="4"/>
    <w:next w:val="4"/>
    <w:autoRedefine/>
    <w:semiHidden/>
    <w:qFormat/>
    <w:uiPriority w:val="0"/>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autoRedefine/>
    <w:qFormat/>
    <w:uiPriority w:val="0"/>
  </w:style>
  <w:style w:type="character" w:styleId="18">
    <w:name w:val="Emphasis"/>
    <w:basedOn w:val="16"/>
    <w:autoRedefine/>
    <w:qFormat/>
    <w:uiPriority w:val="0"/>
    <w:rPr>
      <w:i/>
    </w:rPr>
  </w:style>
  <w:style w:type="character" w:styleId="19">
    <w:name w:val="line number"/>
    <w:basedOn w:val="16"/>
    <w:autoRedefine/>
    <w:qFormat/>
    <w:uiPriority w:val="0"/>
  </w:style>
  <w:style w:type="character" w:styleId="20">
    <w:name w:val="Hyperlink"/>
    <w:autoRedefine/>
    <w:qFormat/>
    <w:uiPriority w:val="0"/>
    <w:rPr>
      <w:color w:val="0000FF"/>
      <w:u w:val="single"/>
    </w:rPr>
  </w:style>
  <w:style w:type="character" w:styleId="21">
    <w:name w:val="annotation reference"/>
    <w:basedOn w:val="16"/>
    <w:autoRedefine/>
    <w:semiHidden/>
    <w:qFormat/>
    <w:uiPriority w:val="0"/>
    <w:rPr>
      <w:sz w:val="21"/>
      <w:szCs w:val="21"/>
    </w:rPr>
  </w:style>
  <w:style w:type="character" w:customStyle="1" w:styleId="22">
    <w:name w:val="页脚 字符"/>
    <w:link w:val="9"/>
    <w:autoRedefine/>
    <w:qFormat/>
    <w:uiPriority w:val="0"/>
    <w:rPr>
      <w:kern w:val="2"/>
      <w:sz w:val="18"/>
    </w:rPr>
  </w:style>
  <w:style w:type="character" w:customStyle="1" w:styleId="23">
    <w:name w:val="正文文本缩进 3 字符"/>
    <w:link w:val="11"/>
    <w:autoRedefine/>
    <w:qFormat/>
    <w:uiPriority w:val="0"/>
    <w:rPr>
      <w:rFonts w:ascii="Times New Roman" w:hAnsi="Times New Roman" w:eastAsia="楷体_GB2312"/>
      <w:color w:val="000000"/>
      <w:sz w:val="28"/>
      <w:szCs w:val="20"/>
    </w:rPr>
  </w:style>
  <w:style w:type="character" w:customStyle="1" w:styleId="24">
    <w:name w:val="zi_101"/>
    <w:autoRedefine/>
    <w:qFormat/>
    <w:uiPriority w:val="0"/>
    <w:rPr>
      <w:rFonts w:hint="default" w:ascii="Verdana" w:hAnsi="Verdana"/>
      <w:color w:val="C90000"/>
      <w:sz w:val="18"/>
      <w:szCs w:val="18"/>
    </w:rPr>
  </w:style>
  <w:style w:type="paragraph" w:customStyle="1" w:styleId="25">
    <w:name w:val="a14"/>
    <w:basedOn w:val="1"/>
    <w:autoRedefine/>
    <w:qFormat/>
    <w:uiPriority w:val="0"/>
    <w:pPr>
      <w:widowControl/>
      <w:spacing w:before="100" w:beforeAutospacing="1" w:after="100" w:afterAutospacing="1"/>
      <w:jc w:val="left"/>
    </w:pPr>
    <w:rPr>
      <w:rFonts w:ascii="宋体" w:hAnsi="宋体"/>
      <w:kern w:val="0"/>
      <w:sz w:val="24"/>
      <w:szCs w:val="20"/>
    </w:rPr>
  </w:style>
  <w:style w:type="paragraph" w:customStyle="1" w:styleId="26">
    <w:name w:val="Char Char Char Char"/>
    <w:basedOn w:val="1"/>
    <w:autoRedefine/>
    <w:qFormat/>
    <w:uiPriority w:val="0"/>
    <w:pPr>
      <w:pageBreakBefore/>
    </w:pPr>
    <w:rPr>
      <w:rFonts w:ascii="Tahoma" w:hAnsi="Tahoma"/>
      <w:sz w:val="24"/>
      <w:szCs w:val="20"/>
    </w:rPr>
  </w:style>
  <w:style w:type="paragraph" w:customStyle="1" w:styleId="27">
    <w:name w:val="Char Char Char Char Char Char"/>
    <w:basedOn w:val="1"/>
    <w:autoRedefine/>
    <w:qFormat/>
    <w:uiPriority w:val="0"/>
    <w:pPr>
      <w:pageBreakBefore/>
    </w:pPr>
    <w:rPr>
      <w:rFonts w:ascii="Tahoma" w:hAnsi="Tahoma"/>
      <w:sz w:val="24"/>
      <w:szCs w:val="20"/>
    </w:rPr>
  </w:style>
  <w:style w:type="paragraph" w:customStyle="1" w:styleId="28">
    <w:name w:val="TH"/>
    <w:basedOn w:val="1"/>
    <w:autoRedefine/>
    <w:qFormat/>
    <w:uiPriority w:val="0"/>
    <w:pPr>
      <w:keepNext/>
      <w:keepLines/>
      <w:widowControl/>
      <w:overflowPunct w:val="0"/>
      <w:autoSpaceDE w:val="0"/>
      <w:autoSpaceDN w:val="0"/>
      <w:adjustRightInd w:val="0"/>
      <w:spacing w:before="60" w:after="180"/>
      <w:jc w:val="center"/>
      <w:textAlignment w:val="baseline"/>
    </w:pPr>
    <w:rPr>
      <w:rFonts w:ascii="Arial" w:hAnsi="Arial"/>
      <w:b/>
      <w:kern w:val="0"/>
      <w:sz w:val="20"/>
      <w:szCs w:val="20"/>
      <w:lang w:val="en-GB"/>
    </w:rPr>
  </w:style>
  <w:style w:type="paragraph" w:customStyle="1" w:styleId="29">
    <w:name w:val="缺省文本"/>
    <w:basedOn w:val="1"/>
    <w:autoRedefine/>
    <w:qFormat/>
    <w:uiPriority w:val="0"/>
    <w:pPr>
      <w:autoSpaceDE w:val="0"/>
      <w:autoSpaceDN w:val="0"/>
      <w:adjustRightInd w:val="0"/>
      <w:jc w:val="left"/>
    </w:pPr>
    <w:rPr>
      <w:kern w:val="0"/>
      <w:sz w:val="24"/>
    </w:rPr>
  </w:style>
  <w:style w:type="paragraph" w:customStyle="1" w:styleId="30">
    <w:name w:val="Default"/>
    <w:autoRedefine/>
    <w:qFormat/>
    <w:uiPriority w:val="0"/>
    <w:pPr>
      <w:widowControl w:val="0"/>
      <w:autoSpaceDE w:val="0"/>
      <w:autoSpaceDN w:val="0"/>
      <w:adjustRightInd w:val="0"/>
    </w:pPr>
    <w:rPr>
      <w:rFonts w:ascii="宋体" w:hAnsi="Times New Roman" w:eastAsia="宋体" w:cs="Times New Roman"/>
      <w:color w:val="000000"/>
      <w:sz w:val="24"/>
      <w:szCs w:val="24"/>
      <w:lang w:val="en-US" w:eastAsia="zh-CN" w:bidi="ar-SA"/>
    </w:rPr>
  </w:style>
  <w:style w:type="paragraph" w:customStyle="1" w:styleId="31">
    <w:name w:val="???????????¡ì????????????????¡ì????????????????¡§???????????????¡ì?????????????¡ì???????????????¡ì?????o??????????????¡§???????????????¡ì?????????????¡ì?????"/>
    <w:basedOn w:val="1"/>
    <w:autoRedefine/>
    <w:qFormat/>
    <w:uiPriority w:val="0"/>
    <w:pPr>
      <w:widowControl/>
      <w:overflowPunct w:val="0"/>
      <w:autoSpaceDE w:val="0"/>
      <w:autoSpaceDN w:val="0"/>
      <w:adjustRightInd w:val="0"/>
      <w:jc w:val="left"/>
      <w:textAlignment w:val="baseline"/>
    </w:pPr>
    <w:rPr>
      <w:kern w:val="0"/>
      <w:sz w:val="24"/>
      <w:szCs w:val="20"/>
    </w:rPr>
  </w:style>
  <w:style w:type="paragraph" w:styleId="32">
    <w:name w:val="List Paragraph"/>
    <w:basedOn w:val="1"/>
    <w:autoRedefine/>
    <w:qFormat/>
    <w:uiPriority w:val="34"/>
    <w:pPr>
      <w:ind w:left="720"/>
      <w:contextualSpacing/>
    </w:pPr>
  </w:style>
  <w:style w:type="character" w:customStyle="1" w:styleId="33">
    <w:name w:val="fontstyle01"/>
    <w:autoRedefine/>
    <w:qFormat/>
    <w:uiPriority w:val="0"/>
    <w:rPr>
      <w:rFonts w:hint="eastAsia" w:ascii="宋体" w:hAnsi="宋体" w:eastAsia="宋体"/>
      <w:color w:val="000000"/>
      <w:sz w:val="24"/>
      <w:szCs w:val="24"/>
    </w:rPr>
  </w:style>
  <w:style w:type="paragraph" w:customStyle="1" w:styleId="34">
    <w:name w:val="列出段落1"/>
    <w:basedOn w:val="1"/>
    <w:autoRedefine/>
    <w:qFormat/>
    <w:uiPriority w:val="0"/>
    <w:pPr>
      <w:ind w:firstLine="420" w:firstLineChars="200"/>
    </w:pPr>
    <w:rPr>
      <w:rFonts w:ascii="仿宋_GB2312" w:hAnsi="仿宋_GB2312" w:eastAsia="Cambria Math" w:cs="仿宋_GB2312"/>
    </w:rPr>
  </w:style>
  <w:style w:type="paragraph" w:customStyle="1" w:styleId="35">
    <w:name w:val="Revision"/>
    <w:hidden/>
    <w:unhideWhenUsed/>
    <w:qFormat/>
    <w:uiPriority w:val="99"/>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footer" Target="footer2.xml"/><Relationship Id="rId49" Type="http://schemas.openxmlformats.org/officeDocument/2006/relationships/customXml" Target="../customXml/item2.xml"/><Relationship Id="rId48" Type="http://schemas.openxmlformats.org/officeDocument/2006/relationships/customXml" Target="../customXml/item1.xml"/><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emf"/><Relationship Id="rId4" Type="http://schemas.openxmlformats.org/officeDocument/2006/relationships/footer" Target="footer1.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jpe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png"/><Relationship Id="rId27" Type="http://schemas.openxmlformats.org/officeDocument/2006/relationships/image" Target="media/image6.wmf"/><Relationship Id="rId26" Type="http://schemas.openxmlformats.org/officeDocument/2006/relationships/oleObject" Target="embeddings/oleObject3.bin"/><Relationship Id="rId25" Type="http://schemas.openxmlformats.org/officeDocument/2006/relationships/image" Target="media/image5.wmf"/><Relationship Id="rId24" Type="http://schemas.openxmlformats.org/officeDocument/2006/relationships/oleObject" Target="embeddings/oleObject2.bin"/><Relationship Id="rId23" Type="http://schemas.openxmlformats.org/officeDocument/2006/relationships/image" Target="media/image4.wmf"/><Relationship Id="rId22" Type="http://schemas.openxmlformats.org/officeDocument/2006/relationships/oleObject" Target="embeddings/oleObject1.bin"/><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ichen\Application%20Data\Microsoft\Templates\&#21457;&#26126;&#30003;&#35831;&#20070;.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18F311-E9A2-47D9-9F89-E9F3730F4B71}">
  <ds:schemaRefs/>
</ds:datastoreItem>
</file>

<file path=docProps/app.xml><?xml version="1.0" encoding="utf-8"?>
<Properties xmlns="http://schemas.openxmlformats.org/officeDocument/2006/extended-properties" xmlns:vt="http://schemas.openxmlformats.org/officeDocument/2006/docPropsVTypes">
  <Template>发明申请书.dot</Template>
  <Company>北京润泽恒知识产权代理有限公司</Company>
  <Pages>44</Pages>
  <Words>24727</Words>
  <Characters>26686</Characters>
  <Lines>189</Lines>
  <Paragraphs>53</Paragraphs>
  <TotalTime>94</TotalTime>
  <ScaleCrop>false</ScaleCrop>
  <LinksUpToDate>false</LinksUpToDate>
  <CharactersWithSpaces>26867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2024-07-27T13:08:00Z</dcterms:created>
  <dc:creator>RZH</dc:creator>
  <cp:lastModifiedBy>彩虹直至黑白</cp:lastModifiedBy>
  <cp:lastPrinted>2006-12-27T02:06:00Z</cp:lastPrinted>
  <dcterms:modified xsi:type="dcterms:W3CDTF">2024-08-07T10:18:54Z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AE97E556B0CC4F72A3E72CC80BEA7B57_13</vt:lpwstr>
  </property>
  <property fmtid="{D5CDD505-2E9C-101B-9397-08002B2CF9AE}" pid="4" name="commondata">
    <vt:lpwstr>eyJoZGlkIjoiZDM3YjQ0YzRlMDU2N2JlNDEyYTZlNTcyMjUxOGVjNjAifQ==</vt:lpwstr>
  </property>
</Properties>
</file>