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3E3B2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spacing w:before="750" w:beforeAutospacing="0" w:after="300" w:afterAutospacing="0" w:line="450" w:lineRule="atLeast"/>
        <w:ind w:left="-225" w:right="-225" w:firstLine="0"/>
        <w:jc w:val="center"/>
        <w:rPr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kern w:val="0"/>
          <w:sz w:val="42"/>
          <w:szCs w:val="42"/>
          <w:bdr w:val="none" w:color="auto" w:sz="0" w:space="0"/>
          <w:shd w:val="clear" w:fill="FFFFFF"/>
          <w:lang w:val="en-US" w:eastAsia="zh-CN" w:bidi="ar"/>
        </w:rPr>
        <w:t>多空隧道</w:t>
      </w:r>
    </w:p>
    <w:p w14:paraId="2925A6A9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00" w:lineRule="atLeast"/>
        <w:ind w:left="-225" w:right="-225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作者: </w:t>
      </w:r>
      <w:r>
        <w:rPr>
          <w:rFonts w:hint="default" w:ascii="Arial" w:hAnsi="Arial" w:eastAsia="Arial" w:cs="Arial"/>
          <w:i w:val="0"/>
          <w:iCs w:val="0"/>
          <w:caps w:val="0"/>
          <w:color w:val="717FA2"/>
          <w:spacing w:val="0"/>
          <w:kern w:val="0"/>
          <w:sz w:val="18"/>
          <w:szCs w:val="18"/>
          <w:u w:val="single"/>
          <w:bdr w:val="none" w:color="auto" w:sz="0" w:space="0"/>
          <w:shd w:val="clear" w:fill="FFFFFF"/>
          <w:lang w:val="en-US" w:eastAsia="zh-CN" w:bidi="ar"/>
        </w:rPr>
        <w:t>神光弘缠</w:t>
      </w:r>
      <w:r>
        <w:rPr>
          <w:rFonts w:hint="default" w:ascii="Arial" w:hAnsi="Arial" w:eastAsia="Arial" w:cs="Arial"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于 2024年08月22日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发布在分类</w:t>
      </w:r>
      <w:r>
        <w:rPr>
          <w:rFonts w:hint="default" w:ascii="Arial" w:hAnsi="Arial" w:eastAsia="Arial" w:cs="Arial"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/ </w:t>
      </w:r>
      <w:r>
        <w:rPr>
          <w:rFonts w:hint="default" w:ascii="Arial" w:hAnsi="Arial" w:eastAsia="Arial" w:cs="Arial"/>
          <w:i w:val="0"/>
          <w:iCs w:val="0"/>
          <w:caps w:val="0"/>
          <w:color w:val="717FA2"/>
          <w:spacing w:val="0"/>
          <w:kern w:val="0"/>
          <w:sz w:val="18"/>
          <w:szCs w:val="18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717FA2"/>
          <w:spacing w:val="0"/>
          <w:kern w:val="0"/>
          <w:sz w:val="18"/>
          <w:szCs w:val="18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"http://help.365sghc.com/webtype/view402880bf70e79dad0170e7af90ec0002/Pub1.html" \o "弘缠软件电脑端使用帮助" </w:instrText>
      </w:r>
      <w:r>
        <w:rPr>
          <w:rFonts w:hint="default" w:ascii="Arial" w:hAnsi="Arial" w:eastAsia="Arial" w:cs="Arial"/>
          <w:i w:val="0"/>
          <w:iCs w:val="0"/>
          <w:caps w:val="0"/>
          <w:color w:val="717FA2"/>
          <w:spacing w:val="0"/>
          <w:kern w:val="0"/>
          <w:sz w:val="18"/>
          <w:szCs w:val="18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717FA2"/>
          <w:spacing w:val="0"/>
          <w:sz w:val="18"/>
          <w:szCs w:val="18"/>
          <w:u w:val="single"/>
          <w:bdr w:val="none" w:color="auto" w:sz="0" w:space="0"/>
          <w:shd w:val="clear" w:fill="FFFFFF"/>
        </w:rPr>
        <w:t>弘缠软件电脑端使用帮助</w:t>
      </w:r>
      <w:r>
        <w:rPr>
          <w:rFonts w:hint="default" w:ascii="Arial" w:hAnsi="Arial" w:eastAsia="Arial" w:cs="Arial"/>
          <w:i w:val="0"/>
          <w:iCs w:val="0"/>
          <w:caps w:val="0"/>
          <w:color w:val="717FA2"/>
          <w:spacing w:val="0"/>
          <w:kern w:val="0"/>
          <w:sz w:val="18"/>
          <w:szCs w:val="18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/ </w:t>
      </w:r>
      <w:r>
        <w:rPr>
          <w:rFonts w:hint="default" w:ascii="Arial" w:hAnsi="Arial" w:eastAsia="Arial" w:cs="Arial"/>
          <w:i w:val="0"/>
          <w:iCs w:val="0"/>
          <w:caps w:val="0"/>
          <w:color w:val="717FA2"/>
          <w:spacing w:val="0"/>
          <w:kern w:val="0"/>
          <w:sz w:val="18"/>
          <w:szCs w:val="18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717FA2"/>
          <w:spacing w:val="0"/>
          <w:kern w:val="0"/>
          <w:sz w:val="18"/>
          <w:szCs w:val="18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"http://help.365sghc.com/webtype/view402880bf70eb405d0170f05510300073/Pub1.html" \o "特色指标" </w:instrText>
      </w:r>
      <w:r>
        <w:rPr>
          <w:rFonts w:hint="default" w:ascii="Arial" w:hAnsi="Arial" w:eastAsia="Arial" w:cs="Arial"/>
          <w:i w:val="0"/>
          <w:iCs w:val="0"/>
          <w:caps w:val="0"/>
          <w:color w:val="717FA2"/>
          <w:spacing w:val="0"/>
          <w:kern w:val="0"/>
          <w:sz w:val="18"/>
          <w:szCs w:val="18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717FA2"/>
          <w:spacing w:val="0"/>
          <w:sz w:val="18"/>
          <w:szCs w:val="18"/>
          <w:u w:val="single"/>
          <w:bdr w:val="none" w:color="auto" w:sz="0" w:space="0"/>
          <w:shd w:val="clear" w:fill="FFFFFF"/>
        </w:rPr>
        <w:t>特色指标</w:t>
      </w:r>
      <w:r>
        <w:rPr>
          <w:rFonts w:hint="default" w:ascii="Arial" w:hAnsi="Arial" w:eastAsia="Arial" w:cs="Arial"/>
          <w:i w:val="0"/>
          <w:iCs w:val="0"/>
          <w:caps w:val="0"/>
          <w:color w:val="717FA2"/>
          <w:spacing w:val="0"/>
          <w:kern w:val="0"/>
          <w:sz w:val="18"/>
          <w:szCs w:val="18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下,并于</w:t>
      </w:r>
      <w:r>
        <w:rPr>
          <w:rFonts w:hint="default" w:ascii="Arial" w:hAnsi="Arial" w:eastAsia="Arial" w:cs="Arial"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2026年02月26日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编辑</w:t>
      </w:r>
    </w:p>
    <w:p w14:paraId="2A00BFB0">
      <w:pPr>
        <w:keepNext w:val="0"/>
        <w:keepLines w:val="0"/>
        <w:widowControl/>
        <w:suppressLineNumbers w:val="0"/>
        <w:pBdr>
          <w:top w:val="dashed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-270" w:right="-270"/>
      </w:pPr>
      <w:r>
        <w:rPr>
          <w:rFonts w:hint="default" w:ascii="Arial" w:hAnsi="Arial" w:eastAsia="Arial" w:cs="Arial"/>
          <w:i w:val="0"/>
          <w:iCs w:val="0"/>
          <w:caps w:val="0"/>
          <w:color w:val="999999"/>
          <w:spacing w:val="0"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78E97">
      <w:pPr>
        <w:pStyle w:val="2"/>
        <w:keepNext w:val="0"/>
        <w:keepLines w:val="0"/>
        <w:widowControl/>
        <w:suppressLineNumbers w:val="0"/>
        <w:pBdr>
          <w:left w:val="single" w:color="555555" w:sz="48" w:space="3"/>
          <w:bottom w:val="none" w:color="auto" w:sz="0" w:space="0"/>
        </w:pBdr>
        <w:spacing w:before="300" w:beforeAutospacing="0" w:after="150" w:afterAutospacing="0" w:line="17" w:lineRule="atLeast"/>
        <w:ind w:left="-74" w:right="-150"/>
        <w:rPr>
          <w:rFonts w:ascii="Helvetica" w:hAnsi="Helvetica" w:eastAsia="Helvetica" w:cs="Helvetica"/>
          <w:b/>
          <w:bCs/>
          <w:sz w:val="24"/>
          <w:szCs w:val="24"/>
        </w:rPr>
      </w:pPr>
      <w:bookmarkStart w:id="0" w:name="mark0"/>
      <w:bookmarkEnd w:id="0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bdr w:val="single" w:color="555555" w:sz="48" w:space="0"/>
          <w:shd w:val="clear" w:fill="FFFFFF"/>
        </w:rPr>
        <w:t>1    指标原理</w:t>
      </w:r>
    </w:p>
    <w:p w14:paraId="735F5359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&lt;多空隧道&gt;是基于缠论的动能公式来分析线段多空力量表达的指标。基本原理公式是：动能 = 空间 / 级别。也就是说相同价格空间中，如果级别越大则动能越小，级别越小则动能越大。算法示意图如下：</w:t>
      </w:r>
    </w:p>
    <w:p w14:paraId="07B868BC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269230" cy="2968625"/>
            <wp:effectExtent l="0" t="0" r="7620" b="3175"/>
            <wp:docPr id="8" name="图片 2" descr="粘贴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粘贴图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9BEC37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</w:p>
    <w:p w14:paraId="512B495F">
      <w:pPr>
        <w:pStyle w:val="2"/>
        <w:keepNext w:val="0"/>
        <w:keepLines w:val="0"/>
        <w:widowControl/>
        <w:suppressLineNumbers w:val="0"/>
        <w:pBdr>
          <w:left w:val="single" w:color="555555" w:sz="48" w:space="3"/>
          <w:bottom w:val="none" w:color="auto" w:sz="0" w:space="0"/>
        </w:pBdr>
        <w:spacing w:before="300" w:beforeAutospacing="0" w:after="150" w:afterAutospacing="0" w:line="17" w:lineRule="atLeast"/>
        <w:ind w:left="-74" w:right="-150"/>
        <w:rPr>
          <w:rFonts w:hint="default" w:ascii="Helvetica" w:hAnsi="Helvetica" w:eastAsia="Helvetica" w:cs="Helvetica"/>
          <w:b/>
          <w:bCs/>
          <w:sz w:val="24"/>
          <w:szCs w:val="24"/>
        </w:rPr>
      </w:pPr>
      <w:bookmarkStart w:id="1" w:name="mark1"/>
      <w:bookmarkEnd w:id="1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bdr w:val="single" w:color="555555" w:sz="48" w:space="0"/>
          <w:shd w:val="clear" w:fill="FFFFFF"/>
        </w:rPr>
        <w:t>2    指标调用</w:t>
      </w:r>
    </w:p>
    <w:p w14:paraId="1D88C57C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&lt;多空隧道&gt;指标的调用方式，</w:t>
      </w:r>
    </w:p>
    <w:p w14:paraId="1AAEB471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在K线界面的指标栏中点选多空隧道。</w:t>
      </w:r>
    </w:p>
    <w:p w14:paraId="259487A3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269230" cy="3209925"/>
            <wp:effectExtent l="0" t="0" r="7620" b="9525"/>
            <wp:docPr id="3" name="图片 3" descr="粘贴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粘贴图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E2839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在K线界面点击鼠标右键，选择常用指标-&gt;多空隧道。</w:t>
      </w:r>
    </w:p>
    <w:p w14:paraId="0E68D79C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269230" cy="2503170"/>
            <wp:effectExtent l="0" t="0" r="7620" b="11430"/>
            <wp:docPr id="6" name="图片 4" descr="粘贴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粘贴图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0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E3AFB0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在K线界面时输入首拼DKSD。</w:t>
      </w:r>
    </w:p>
    <w:p w14:paraId="062AC3B3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743325" cy="2590800"/>
            <wp:effectExtent l="0" t="0" r="9525" b="0"/>
            <wp:docPr id="1" name="图片 5" descr="粘贴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粘贴图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3B7591">
      <w:pPr>
        <w:pStyle w:val="2"/>
        <w:keepNext w:val="0"/>
        <w:keepLines w:val="0"/>
        <w:widowControl/>
        <w:suppressLineNumbers w:val="0"/>
        <w:pBdr>
          <w:left w:val="single" w:color="555555" w:sz="48" w:space="3"/>
          <w:bottom w:val="none" w:color="auto" w:sz="0" w:space="0"/>
        </w:pBdr>
        <w:spacing w:before="300" w:beforeAutospacing="0" w:after="150" w:afterAutospacing="0" w:line="17" w:lineRule="atLeast"/>
        <w:ind w:left="-74" w:right="-150"/>
        <w:rPr>
          <w:rFonts w:hint="default" w:ascii="Helvetica" w:hAnsi="Helvetica" w:eastAsia="Helvetica" w:cs="Helvetica"/>
          <w:b/>
          <w:bCs/>
          <w:sz w:val="24"/>
          <w:szCs w:val="24"/>
        </w:rPr>
      </w:pPr>
      <w:bookmarkStart w:id="2" w:name="mark2"/>
      <w:bookmarkEnd w:id="2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bdr w:val="single" w:color="555555" w:sz="48" w:space="0"/>
          <w:shd w:val="clear" w:fill="FFFFFF"/>
        </w:rPr>
        <w:t>3    指标参数</w:t>
      </w:r>
    </w:p>
    <w:p w14:paraId="5B9845DA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&lt;多空隧道&gt;指标有五个参数：</w:t>
      </w:r>
    </w:p>
    <w:p w14:paraId="75BA9E0C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533775" cy="2695575"/>
            <wp:effectExtent l="0" t="0" r="9525" b="9525"/>
            <wp:docPr id="5" name="图片 6" descr="粘贴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粘贴图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86BFE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参数一：简约多空（默认为1）</w:t>
      </w:r>
    </w:p>
    <w:p w14:paraId="25C8B5D1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简约多空是在已有的多空信号（包括本级别与次级别信号）中提炼出较为关键的多空信号，信号贯穿整个走势，所以查看时需要多拉些K线，建议至少2000根K线，才能看完整近期的信号组，更适合在1分钟、5分钟、30分钟K线周期上运用。</w:t>
      </w:r>
    </w:p>
    <w:p w14:paraId="35D0B026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269230" cy="2388870"/>
            <wp:effectExtent l="0" t="0" r="7620" b="11430"/>
            <wp:docPr id="7" name="图片 7" descr="粘贴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粘贴图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8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14072F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参数二：线段（默认为1）</w:t>
      </w:r>
    </w:p>
    <w:p w14:paraId="19B1DBC9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设1时显示用于多空隧道研判的线段，这类线段是不会回撤的纯高低点线段，与缠论兼顾次级别走势及同级别分解的算法不同，所以两者不重合，不建议同时使用。</w:t>
      </w:r>
    </w:p>
    <w:p w14:paraId="52340CBA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参数三：次级别（默认为1）</w:t>
      </w:r>
    </w:p>
    <w:p w14:paraId="024EFB7B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bookmarkStart w:id="3" w:name="OLE_LINK2"/>
      <w:bookmarkEnd w:id="3"/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设1时显示比当前级别低一级别的多空隧道信号与上下轨。</w:t>
      </w:r>
    </w:p>
    <w:p w14:paraId="0519ECE3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参数四：多空（默认为0）</w:t>
      </w:r>
    </w:p>
    <w:p w14:paraId="61C77D65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设1时显示本级别与次级别的多空信号，相对简约多空信号更精细，所以显示也会更多，建议在1000根K线内观察。</w:t>
      </w:r>
    </w:p>
    <w:p w14:paraId="5F4F961E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参数五：经营线（默认为1）</w:t>
      </w:r>
    </w:p>
    <w:p w14:paraId="7406942D">
      <w:pPr>
        <w:keepNext w:val="0"/>
        <w:keepLines w:val="0"/>
        <w:widowControl/>
        <w:suppressLineNumbers w:val="0"/>
        <w:ind w:left="-150" w:right="-15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设1时显示在多空止损线（实线）基础上迟化处理过的经营线（虚线），它的作用是减少以上下止损线突破为信号的交易频次。</w:t>
      </w:r>
    </w:p>
    <w:p w14:paraId="3A1B95B6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&lt;多空隧道&gt;指标显示内容，如下图：</w:t>
      </w:r>
    </w:p>
    <w:p w14:paraId="76AA533E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269230" cy="2832100"/>
            <wp:effectExtent l="0" t="0" r="7620" b="6350"/>
            <wp:docPr id="4" name="图片 8" descr="粘贴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粘贴图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272F9E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</w:p>
    <w:p w14:paraId="7B476585">
      <w:pPr>
        <w:pStyle w:val="2"/>
        <w:keepNext w:val="0"/>
        <w:keepLines w:val="0"/>
        <w:widowControl/>
        <w:suppressLineNumbers w:val="0"/>
        <w:pBdr>
          <w:left w:val="single" w:color="555555" w:sz="48" w:space="3"/>
          <w:bottom w:val="none" w:color="auto" w:sz="0" w:space="0"/>
        </w:pBdr>
        <w:spacing w:before="300" w:beforeAutospacing="0" w:after="150" w:afterAutospacing="0" w:line="17" w:lineRule="atLeast"/>
        <w:ind w:left="-74" w:right="-150"/>
        <w:rPr>
          <w:rFonts w:hint="default" w:ascii="Helvetica" w:hAnsi="Helvetica" w:eastAsia="Helvetica" w:cs="Helvetica"/>
          <w:b/>
          <w:bCs/>
          <w:sz w:val="24"/>
          <w:szCs w:val="24"/>
        </w:rPr>
      </w:pPr>
      <w:bookmarkStart w:id="4" w:name="mark3"/>
      <w:bookmarkEnd w:id="4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bdr w:val="single" w:color="555555" w:sz="48" w:space="0"/>
          <w:shd w:val="clear" w:fill="FFFFFF"/>
        </w:rPr>
        <w:t>4    指标用法</w:t>
      </w:r>
    </w:p>
    <w:p w14:paraId="3655E375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&lt;多空隧道&gt;的使用需要结合大结构的买卖点，如5分钟的买卖点配合1分钟的多空信号，或30分钟的买卖点配合5分钟的多空信号。在大级别买点后的小级别多头时考虑介入。更细节的交易策略制定请参考官网教学视频。</w:t>
      </w:r>
    </w:p>
    <w:p w14:paraId="0E87FD20">
      <w:pPr>
        <w:pStyle w:val="3"/>
        <w:keepNext w:val="0"/>
        <w:keepLines w:val="0"/>
        <w:widowControl/>
        <w:suppressLineNumbers w:val="0"/>
        <w:spacing w:before="0" w:beforeAutospacing="0" w:after="150" w:afterAutospacing="0" w:line="420" w:lineRule="atLeast"/>
        <w:ind w:left="-150" w:right="-15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269230" cy="2832100"/>
            <wp:effectExtent l="0" t="0" r="7620" b="6350"/>
            <wp:docPr id="2" name="图片 9" descr="粘贴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粘贴图片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866D1D"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506AE"/>
    <w:rsid w:val="7535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2026-05-30T13:29:00Z</dcterms:created>
  <dc:creator>曹靖</dc:creator>
  <cp:lastModifiedBy>曹靖</cp:lastModifiedBy>
  <dcterms:modified xsi:type="dcterms:W3CDTF">2026-05-30T13:29:43Z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20044B5727DD4CAA95696065A6BF689A_11</vt:lpwstr>
  </property>
  <property fmtid="{D5CDD505-2E9C-101B-9397-08002B2CF9AE}" pid="4" name="KSOTemplateDocerSaveRecord">
    <vt:lpwstr>eyJoZGlkIjoiNzk3ZWI5ZGYzNzk1ZGI2YzQxYjI4OThkZTkzMmZmMDQiLCJ1c2VySWQiOiIzMjUwNjYwNjMifQ==</vt:lpwstr>
  </property>
</Properties>
</file>