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2"/>
          <w:szCs w:val="22"/>
        </w:rPr>
        <w:t xml:space="preserve">PROPOSED DRAFT VIRTUAL ASSET SERVICE PROVIDERS REGULATIONS, 2026</w:t>
      </w:r>
    </w:p>
    <w:p>
      <w:pPr>
        <w:spacing w:after="200"/>
      </w:pPr>
      <w:r>
        <w:rPr>
          <w:rFonts w:ascii="Times New Roman" w:cs="Times New Roman" w:eastAsia="Times New Roman" w:hAnsi="Times New Roman"/>
          <w:b/>
          <w:bCs/>
          <w:sz w:val="20"/>
          <w:szCs w:val="20"/>
        </w:rPr>
        <w:t xml:space="preserve">INSTITUTION: ___________________________    DATE: _______________</w:t>
      </w: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550"/>
        <w:gridCol w:w="1100"/>
        <w:gridCol w:w="2900"/>
        <w:gridCol w:w="3300"/>
        <w:gridCol w:w="3110"/>
      </w:tblGrid>
      <w:tr>
        <w:tc>
          <w:tcPr>
            <w:tcW w:type="dxa" w:w="55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after="40" w:before="0" w:line="240"/>
              <w:jc w:val="center"/>
            </w:pPr>
            <w:r>
              <w:rPr>
                <w:rFonts w:ascii="Times New Roman" w:cs="Times New Roman" w:eastAsia="Times New Roman" w:hAnsi="Times New Roman"/>
                <w:b/>
                <w:bCs/>
                <w:sz w:val="17"/>
                <w:szCs w:val="17"/>
              </w:rPr>
              <w:t xml:space="preserve">S/No</w:t>
            </w:r>
          </w:p>
        </w:tc>
        <w:tc>
          <w:tcPr>
            <w:tcW w:type="dxa" w:w="11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after="40" w:before="0" w:line="240"/>
              <w:jc w:val="center"/>
            </w:pPr>
            <w:r>
              <w:rPr>
                <w:rFonts w:ascii="Times New Roman" w:cs="Times New Roman" w:eastAsia="Times New Roman" w:hAnsi="Times New Roman"/>
                <w:b/>
                <w:bCs/>
                <w:sz w:val="17"/>
                <w:szCs w:val="17"/>
              </w:rPr>
              <w:t xml:space="preserve">Regulation</w:t>
            </w:r>
          </w:p>
        </w:tc>
        <w:tc>
          <w:tcPr>
            <w:tcW w:type="dxa" w:w="29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after="40" w:before="0" w:line="240"/>
              <w:jc w:val="center"/>
            </w:pPr>
            <w:r>
              <w:rPr>
                <w:rFonts w:ascii="Times New Roman" w:cs="Times New Roman" w:eastAsia="Times New Roman" w:hAnsi="Times New Roman"/>
                <w:b/>
                <w:bCs/>
                <w:sz w:val="17"/>
                <w:szCs w:val="17"/>
              </w:rPr>
              <w:t xml:space="preserve">Provisions of the Reg*</w:t>
            </w:r>
          </w:p>
        </w:tc>
        <w:tc>
          <w:tcPr>
            <w:tcW w:type="dxa" w:w="33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after="40" w:before="0" w:line="240"/>
              <w:jc w:val="center"/>
            </w:pPr>
            <w:r>
              <w:rPr>
                <w:rFonts w:ascii="Times New Roman" w:cs="Times New Roman" w:eastAsia="Times New Roman" w:hAnsi="Times New Roman"/>
                <w:b/>
                <w:bCs/>
                <w:sz w:val="17"/>
                <w:szCs w:val="17"/>
              </w:rPr>
              <w:t xml:space="preserve">Proposed Revision**</w:t>
            </w:r>
          </w:p>
        </w:tc>
        <w:tc>
          <w:tcPr>
            <w:tcW w:type="dxa" w:w="311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after="40" w:before="0" w:line="240"/>
              <w:jc w:val="center"/>
            </w:pPr>
            <w:r>
              <w:rPr>
                <w:rFonts w:ascii="Times New Roman" w:cs="Times New Roman" w:eastAsia="Times New Roman" w:hAnsi="Times New Roman"/>
                <w:b/>
                <w:bCs/>
                <w:sz w:val="17"/>
                <w:szCs w:val="17"/>
              </w:rPr>
              <w:t xml:space="preserve">Rationale for the revision/ Recommendation</w:t>
            </w:r>
          </w:p>
        </w:tc>
      </w:tr>
      <w:tr>
        <w:tc>
          <w:tcPr>
            <w:tcW w:type="dxa" w:w="55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0" w:line="240"/>
            </w:pPr>
            <w:r>
              <w:rPr>
                <w:rFonts w:ascii="Times New Roman" w:cs="Times New Roman" w:eastAsia="Times New Roman" w:hAnsi="Times New Roman"/>
                <w:sz w:val="17"/>
                <w:szCs w:val="17"/>
              </w:rPr>
              <w:t xml:space="preserve">1.</w:t>
            </w:r>
          </w:p>
        </w:tc>
        <w:tc>
          <w:tcPr>
            <w:tcW w:type="dxa" w:w="11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40" w:before="0" w:line="240"/>
            </w:pPr>
            <w:r>
              <w:rPr>
                <w:rFonts w:ascii="Times New Roman" w:cs="Times New Roman" w:eastAsia="Times New Roman" w:hAnsi="Times New Roman"/>
                <w:sz w:val="17"/>
                <w:szCs w:val="17"/>
              </w:rPr>
              <w:t xml:space="preserve">Regulation 12(1) to 12(5)</w:t>
            </w:r>
          </w:p>
        </w:tc>
        <w:tc>
          <w:tcPr>
            <w:tcW w:type="dxa" w:w="29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60" w:before="0" w:line="240"/>
            </w:pPr>
            <w:r>
              <w:rPr>
                <w:rFonts w:ascii="Times New Roman" w:cs="Times New Roman" w:eastAsia="Times New Roman" w:hAnsi="Times New Roman"/>
                <w:sz w:val="17"/>
                <w:szCs w:val="17"/>
              </w:rPr>
              <w:t xml:space="preserve">12. (1) A person seeking to transact the business of conversion of virtual assets to or from foreign currency shall, before commencing such conversion business, apply to the relevant regulatory authority for authorisation.</w:t>
            </w:r>
          </w:p>
          <w:p>
            <w:pPr>
              <w:spacing w:after="60" w:before="0" w:line="240"/>
            </w:pPr>
            <w:r>
              <w:rPr>
                <w:rFonts w:ascii="Times New Roman" w:cs="Times New Roman" w:eastAsia="Times New Roman" w:hAnsi="Times New Roman"/>
                <w:sz w:val="17"/>
                <w:szCs w:val="17"/>
              </w:rPr>
              <w:t xml:space="preserve">(2) An application under subregulation (1) shall be made in the form and manner specified by the relevant regulatory authority.</w:t>
            </w:r>
          </w:p>
          <w:p>
            <w:pPr>
              <w:spacing w:after="60" w:before="0" w:line="240"/>
            </w:pPr>
            <w:r>
              <w:rPr>
                <w:rFonts w:ascii="Times New Roman" w:cs="Times New Roman" w:eastAsia="Times New Roman" w:hAnsi="Times New Roman"/>
                <w:sz w:val="17"/>
                <w:szCs w:val="17"/>
              </w:rPr>
              <w:t xml:space="preserve">(3) In considering an application under subregulation (1), the relevant regulatory authority shall take into consideration the financial condition and history of the applicant.</w:t>
            </w:r>
          </w:p>
          <w:p>
            <w:pPr>
              <w:spacing w:after="60" w:before="0" w:line="240"/>
            </w:pPr>
            <w:r>
              <w:rPr>
                <w:rFonts w:ascii="Times New Roman" w:cs="Times New Roman" w:eastAsia="Times New Roman" w:hAnsi="Times New Roman"/>
                <w:sz w:val="17"/>
                <w:szCs w:val="17"/>
              </w:rPr>
              <w:t xml:space="preserve">(4) The relevant regulatory authority may grant an authorization subject to such conditions as it may consider necessary.</w:t>
            </w:r>
          </w:p>
          <w:p>
            <w:pPr>
              <w:spacing w:after="60" w:before="0" w:line="240"/>
            </w:pPr>
            <w:r>
              <w:rPr>
                <w:rFonts w:ascii="Times New Roman" w:cs="Times New Roman" w:eastAsia="Times New Roman" w:hAnsi="Times New Roman"/>
                <w:sz w:val="17"/>
                <w:szCs w:val="17"/>
              </w:rPr>
              <w:t xml:space="preserve">(5) An authorisation issued under this regulation shall, unless earlier revoked, be valid from the date it is issued and shall expire on the 31st December of the year it is issued.</w:t>
            </w:r>
          </w:p>
        </w:tc>
        <w:tc>
          <w:tcPr>
            <w:tcW w:type="dxa" w:w="33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80" w:before="0" w:line="240"/>
            </w:pPr>
            <w:r>
              <w:rPr>
                <w:rFonts w:ascii="Times New Roman" w:cs="Times New Roman" w:eastAsia="Times New Roman" w:hAnsi="Times New Roman"/>
                <w:b/>
                <w:bCs/>
                <w:sz w:val="17"/>
                <w:szCs w:val="17"/>
              </w:rPr>
              <w:t xml:space="preserve">Regulation 12 — Delete in its entirety.</w:t>
            </w:r>
          </w:p>
          <w:p>
            <w:pPr>
              <w:spacing w:after="80" w:before="0" w:line="240"/>
            </w:pPr>
            <w:r>
              <w:rPr>
                <w:rFonts w:ascii="Times New Roman" w:cs="Times New Roman" w:eastAsia="Times New Roman" w:hAnsi="Times New Roman"/>
                <w:sz w:val="17"/>
                <w:szCs w:val="17"/>
              </w:rPr>
              <w:t xml:space="preserve">No replacement provision is proposed.</w:t>
            </w:r>
          </w:p>
          <w:p>
            <w:pPr>
              <w:spacing w:after="60" w:before="0" w:line="240"/>
            </w:pPr>
            <w:r>
              <w:rPr>
                <w:rFonts w:ascii="Times New Roman" w:cs="Times New Roman" w:eastAsia="Times New Roman" w:hAnsi="Times New Roman"/>
                <w:sz w:val="17"/>
                <w:szCs w:val="17"/>
              </w:rPr>
              <w:t xml:space="preserve">Consequential amendment: All references to Regulation 12 and to “authorisation for conversion of virtual assets” in these Regulations, including in Regulations 13 and 14 insofar as they relate to authorisations granted under Regulation 12, should be deleted or amended accordingly.</w:t>
            </w:r>
          </w:p>
        </w:tc>
        <w:tc>
          <w:tcPr>
            <w:tcW w:type="dxa" w:w="311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80" w:before="0" w:line="240"/>
            </w:pPr>
            <w:r>
              <w:rPr>
                <w:rFonts w:ascii="Times New Roman" w:cs="Times New Roman" w:eastAsia="Times New Roman" w:hAnsi="Times New Roman"/>
                <w:sz w:val="17"/>
                <w:szCs w:val="17"/>
              </w:rPr>
              <w:t xml:space="preserve">Regulation 12 should be repealed in its entirety. It creates a separate authorisation requirement for the conversion of virtual assets to or from foreign currency that is legally redundant, practically unenforceable, inconsistent with Kenya’s established foreign exchange regime, and without precedent in any comparable jurisdiction.</w:t>
            </w:r>
          </w:p>
          <w:p>
            <w:pPr>
              <w:spacing w:after="60" w:before="0" w:line="240"/>
            </w:pPr>
            <w:r>
              <w:rPr>
                <w:rFonts w:ascii="Times New Roman" w:cs="Times New Roman" w:eastAsia="Times New Roman" w:hAnsi="Times New Roman"/>
                <w:b/>
                <w:bCs/>
                <w:sz w:val="17"/>
                <w:szCs w:val="17"/>
              </w:rPr>
              <w:t xml:space="preserve">Regulation 12 is inconsistent with Kenya’s liberalised foreign exchange regime.</w:t>
            </w:r>
          </w:p>
          <w:p>
            <w:pPr>
              <w:spacing w:after="60" w:before="0" w:line="240"/>
            </w:pPr>
            <w:r>
              <w:rPr>
                <w:rFonts w:ascii="Times New Roman" w:cs="Times New Roman" w:eastAsia="Times New Roman" w:hAnsi="Times New Roman"/>
                <w:sz w:val="17"/>
                <w:szCs w:val="17"/>
              </w:rPr>
              <w:t xml:space="preserve">Kenya repealed all exchange control laws in 1993 and has since operated a fully liberalised, market-determined foreign exchange system. The Central Bank of Kenya does not set the exchange rate; it is determined by supply and demand in the interbank market. Residents and non-residents are permitted to buy or sell foreign exchange without restriction to and from authorised dealers up to the equivalent of USD 10,000, with documentation required only for amounts exceeding that threshold, and only for administrative recording purposes. The CBK licenses forex bureaus and authorised dealers under Section 33(B) of the Central Bank of Kenya Act (Cap. 491), but does not impose a separate “conversion authorisation” on businesses that facilitate currency exchange as an ancillary function of a licensed activity.</w:t>
            </w:r>
          </w:p>
          <w:p>
            <w:pPr>
              <w:spacing w:after="80" w:before="0" w:line="240"/>
            </w:pPr>
            <w:r>
              <w:rPr>
                <w:rFonts w:ascii="Times New Roman" w:cs="Times New Roman" w:eastAsia="Times New Roman" w:hAnsi="Times New Roman"/>
                <w:sz w:val="17"/>
                <w:szCs w:val="17"/>
              </w:rPr>
              <w:t xml:space="preserve">The effect of Regulation 12 is to re-introduce a form of exchange control specifically for virtual asset transactions that does not exist for any other category of foreign exchange transaction in Kenya. A licensed forex bureau can convert KES to USD, EUR, GBP, or any other foreign currency without any additional authorisation beyond its CBK licence. A licensed payment service provider can process cross-border payments involving foreign currency conversion without a separate “conversion authorisation.” Yet under Regulation 12, a licensed VASP that has already obtained a licence under Regulation 5 would need to obtain an additional, separate annual authorisation merely to facilitate a transaction that converts a virtual asset to or from a foreign currency. This creates an unjustifiable regulatory asymmetry.</w:t>
            </w:r>
          </w:p>
          <w:p>
            <w:pPr>
              <w:spacing w:after="60" w:before="0" w:line="240"/>
            </w:pPr>
            <w:r>
              <w:rPr>
                <w:rFonts w:ascii="Times New Roman" w:cs="Times New Roman" w:eastAsia="Times New Roman" w:hAnsi="Times New Roman"/>
                <w:b/>
                <w:bCs/>
                <w:sz w:val="17"/>
                <w:szCs w:val="17"/>
              </w:rPr>
              <w:t xml:space="preserve">Regulation 12 imposes a duplicative and unnecessary licensing layer.</w:t>
            </w:r>
          </w:p>
          <w:p>
            <w:pPr>
              <w:spacing w:after="60" w:before="0" w:line="240"/>
            </w:pPr>
            <w:r>
              <w:rPr>
                <w:rFonts w:ascii="Times New Roman" w:cs="Times New Roman" w:eastAsia="Times New Roman" w:hAnsi="Times New Roman"/>
                <w:sz w:val="17"/>
                <w:szCs w:val="17"/>
              </w:rPr>
              <w:t xml:space="preserve">A person seeking to operate as a virtual asset exchange or payment processor is already required to obtain a licence under Regulation 5, satisfy fit and proper requirements, maintain prescribed capital, implement AML/CFT policies, and comply with all prudential and conduct requirements under these Regulations. The conversion of a virtual asset to or from foreign currency is an inherent and ordinary function of the exchange and payment processing activities that are already licensed under Regulation 5. Requiring a separate authorisation for this specific sub-activity is regulatory duplication that adds cost, administrative burden, and delay without any corresponding increase in consumer protection, AML/CFT compliance, or market integrity.</w:t>
            </w:r>
          </w:p>
          <w:p>
            <w:pPr>
              <w:spacing w:after="80" w:before="0" w:line="240"/>
            </w:pPr>
            <w:r>
              <w:rPr>
                <w:rFonts w:ascii="Times New Roman" w:cs="Times New Roman" w:eastAsia="Times New Roman" w:hAnsi="Times New Roman"/>
                <w:sz w:val="17"/>
                <w:szCs w:val="17"/>
              </w:rPr>
              <w:t xml:space="preserve">Moreover, the authorisation under Regulation 12(5) expires on the 31st of December of the year it is issued, requiring annual renewal. This means a licensee that holds a multi-year VASP licence under Regulation 5 must separately apply for and renew a conversion authorisation every year, creating an ongoing administrative burden and annual point of failure for a business activity that is already covered by the primary licence.</w:t>
            </w:r>
          </w:p>
          <w:p>
            <w:pPr>
              <w:spacing w:after="60" w:before="0" w:line="240"/>
            </w:pPr>
            <w:r>
              <w:rPr>
                <w:rFonts w:ascii="Times New Roman" w:cs="Times New Roman" w:eastAsia="Times New Roman" w:hAnsi="Times New Roman"/>
                <w:b/>
                <w:bCs/>
                <w:sz w:val="17"/>
                <w:szCs w:val="17"/>
              </w:rPr>
              <w:t xml:space="preserve">Regulation 12 is practically unenforceable due to the nature of virtual asset markets.</w:t>
            </w:r>
          </w:p>
          <w:p>
            <w:pPr>
              <w:spacing w:after="60" w:before="0" w:line="240"/>
            </w:pPr>
            <w:r>
              <w:rPr>
                <w:rFonts w:ascii="Times New Roman" w:cs="Times New Roman" w:eastAsia="Times New Roman" w:hAnsi="Times New Roman"/>
                <w:sz w:val="17"/>
                <w:szCs w:val="17"/>
              </w:rPr>
              <w:t xml:space="preserve">The regulation presumes that the conversion of virtual assets to or from foreign currency occurs in a discrete, controllable transaction that can be isolated and separately authorised. This does not reflect how virtual asset markets operate. A user holding Kenya Shillings can purchase a KES-denominated stablecoin or any virtual asset on a local platform, transfer that asset on-chain to any global platform, and exchange it for USD-denominated stablecoins, Bitcoin, or any other virtual asset, which can then be converted to any foreign currency at any exchange worldwide. The conversion to foreign currency occurs entirely on-chain or on offshore platforms beyond the jurisdictional reach of any Kenyan regulatory authority.</w:t>
            </w:r>
          </w:p>
          <w:p>
            <w:pPr>
              <w:spacing w:after="80" w:before="0" w:line="240"/>
            </w:pPr>
            <w:r>
              <w:rPr>
                <w:rFonts w:ascii="Times New Roman" w:cs="Times New Roman" w:eastAsia="Times New Roman" w:hAnsi="Times New Roman"/>
                <w:sz w:val="17"/>
                <w:szCs w:val="17"/>
              </w:rPr>
              <w:t xml:space="preserve">No authorisation requirement imposed on a Kenyan licensee can prevent or control this activity, because the conversion does not occur on the Kenyan licensee’s platform. The user converts KES to a virtual asset (a licensed transaction under Regulation 5), transfers the virtual asset on-chain (a permissionless blockchain operation that no jurisdiction can restrict), and converts to foreign currency on an offshore platform (outside Kenyan jurisdiction). Regulation 12 therefore regulates only the form of a transaction that the user can accomplish in substance through a sequence of steps that are individually either already regulated or beyond the reach of Kenyan law.</w:t>
            </w:r>
          </w:p>
          <w:p>
            <w:pPr>
              <w:spacing w:after="60" w:before="0" w:line="240"/>
            </w:pPr>
            <w:r>
              <w:rPr>
                <w:rFonts w:ascii="Times New Roman" w:cs="Times New Roman" w:eastAsia="Times New Roman" w:hAnsi="Times New Roman"/>
                <w:b/>
                <w:bCs/>
                <w:sz w:val="17"/>
                <w:szCs w:val="17"/>
              </w:rPr>
              <w:t xml:space="preserve">No comparable jurisdiction imposes such a requirement.</w:t>
            </w:r>
          </w:p>
          <w:p>
            <w:pPr>
              <w:spacing w:after="60" w:before="0" w:line="240"/>
            </w:pPr>
            <w:r>
              <w:rPr>
                <w:rFonts w:ascii="Times New Roman" w:cs="Times New Roman" w:eastAsia="Times New Roman" w:hAnsi="Times New Roman"/>
                <w:sz w:val="17"/>
                <w:szCs w:val="17"/>
              </w:rPr>
              <w:t xml:space="preserve">(a) European Union — MiCA: No separate authorisation is required for the conversion of crypto-assets to or from foreign currency. Exchange services between crypto-assets and fiat currencies are a licensed CASP activity under a single authorisation.</w:t>
            </w:r>
          </w:p>
          <w:p>
            <w:pPr>
              <w:spacing w:after="60" w:before="0" w:line="240"/>
            </w:pPr>
            <w:r>
              <w:rPr>
                <w:rFonts w:ascii="Times New Roman" w:cs="Times New Roman" w:eastAsia="Times New Roman" w:hAnsi="Times New Roman"/>
                <w:sz w:val="17"/>
                <w:szCs w:val="17"/>
              </w:rPr>
              <w:t xml:space="preserve">(b) Singapore — Payment Services Act 2019: The exchange of digital payment tokens for money or other digital payment tokens is a single licensed service. No separate “foreign currency conversion” authorisation exists.</w:t>
            </w:r>
          </w:p>
          <w:p>
            <w:pPr>
              <w:spacing w:after="60" w:before="0" w:line="240"/>
            </w:pPr>
            <w:r>
              <w:rPr>
                <w:rFonts w:ascii="Times New Roman" w:cs="Times New Roman" w:eastAsia="Times New Roman" w:hAnsi="Times New Roman"/>
                <w:sz w:val="17"/>
                <w:szCs w:val="17"/>
              </w:rPr>
              <w:t xml:space="preserve">(c) Seychelles — VASP Act 2024: Virtual asset exchange services, including fiat-to-crypto and crypto-to-fiat conversion, are covered under the primary VASP licence. No additional conversion authorisation is required.</w:t>
            </w:r>
          </w:p>
          <w:p>
            <w:pPr>
              <w:spacing w:after="60" w:before="0" w:line="240"/>
            </w:pPr>
            <w:r>
              <w:rPr>
                <w:rFonts w:ascii="Times New Roman" w:cs="Times New Roman" w:eastAsia="Times New Roman" w:hAnsi="Times New Roman"/>
                <w:sz w:val="17"/>
                <w:szCs w:val="17"/>
              </w:rPr>
              <w:t xml:space="preserve">(d) United Arab Emirates — Dubai VARA: Exchange services are licensed as a single activity. No separate foreign currency conversion authorisation is imposed.</w:t>
            </w:r>
          </w:p>
          <w:p>
            <w:pPr>
              <w:spacing w:after="80" w:before="0" w:line="240"/>
            </w:pPr>
            <w:r>
              <w:rPr>
                <w:rFonts w:ascii="Times New Roman" w:cs="Times New Roman" w:eastAsia="Times New Roman" w:hAnsi="Times New Roman"/>
                <w:sz w:val="17"/>
                <w:szCs w:val="17"/>
              </w:rPr>
              <w:t xml:space="preserve">(e) Kenya — National Payment System Act, 2011: Money remittance providers and payment service providers that process cross-border transactions involving foreign currency conversion do not require a separate “conversion authorisation” in addition to their primary CBK authorisation.</w:t>
            </w:r>
          </w:p>
          <w:p>
            <w:pPr>
              <w:spacing w:after="60" w:before="0" w:line="240"/>
            </w:pPr>
            <w:r>
              <w:rPr>
                <w:rFonts w:ascii="Times New Roman" w:cs="Times New Roman" w:eastAsia="Times New Roman" w:hAnsi="Times New Roman"/>
                <w:b/>
                <w:bCs/>
                <w:sz w:val="17"/>
                <w:szCs w:val="17"/>
              </w:rPr>
              <w:t xml:space="preserve">Regulation 12 is detrimental to business activity and investment.</w:t>
            </w:r>
          </w:p>
          <w:p>
            <w:pPr>
              <w:spacing w:after="80" w:before="0" w:line="240"/>
            </w:pPr>
            <w:r>
              <w:rPr>
                <w:rFonts w:ascii="Times New Roman" w:cs="Times New Roman" w:eastAsia="Times New Roman" w:hAnsi="Times New Roman"/>
                <w:sz w:val="17"/>
                <w:szCs w:val="17"/>
              </w:rPr>
              <w:t xml:space="preserve">The practical effect of this regulation is to create an additional annual licensing barrier that increases the cost and complexity of operating a virtual asset exchange or payment processing service in Kenya, without any countervailing regulatory benefit. It signals to domestic entrepreneurs and foreign investors that Kenya imposes administrative requirements on virtual asset businesses that go beyond what is required by Kenya’s own foreign exchange regime and beyond what is required by any comparable international framework. This undermines Kenya’s competitiveness as a jurisdiction for virtual asset business activity and drives transactions to offshore platforms where neither this regulation nor any other Kenyan regulatory requirement applies.</w:t>
            </w:r>
          </w:p>
          <w:p>
            <w:pPr>
              <w:spacing w:after="60" w:before="0" w:line="240"/>
            </w:pPr>
            <w:r>
              <w:rPr>
                <w:rFonts w:ascii="Times New Roman" w:cs="Times New Roman" w:eastAsia="Times New Roman" w:hAnsi="Times New Roman"/>
                <w:sz w:val="17"/>
                <w:szCs w:val="17"/>
              </w:rPr>
              <w:t xml:space="preserve">The AML/CFT and consumer protection objectives that might be attributed to Regulation 12 are already fully addressed by the primary VASP licensing requirements under Regulation 5, the AML/CFT obligations under these Regulations, and the obligations imposed under the Proceeds of Crime and Anti-Money Laundering Act. No additional authorisation is required to achieve these objectives.</w:t>
            </w:r>
          </w:p>
        </w:tc>
      </w:tr>
    </w:tbl>
    <w:p>
      <w:pPr>
        <w:spacing w:before="200"/>
      </w:pPr>
      <w:r>
        <w:rPr>
          <w:rFonts w:ascii="Times New Roman" w:cs="Times New Roman" w:eastAsia="Times New Roman" w:hAnsi="Times New Roman"/>
          <w:b/>
          <w:bCs/>
          <w:sz w:val="16"/>
          <w:szCs w:val="16"/>
        </w:rPr>
        <w:t xml:space="preserve">*Provide text on exact wording of the provision in the proposed clause or clauses</w:t>
      </w:r>
    </w:p>
    <w:p>
      <w:r>
        <w:rPr>
          <w:rFonts w:ascii="Times New Roman" w:cs="Times New Roman" w:eastAsia="Times New Roman" w:hAnsi="Times New Roman"/>
          <w:b/>
          <w:bCs/>
          <w:sz w:val="16"/>
          <w:szCs w:val="16"/>
        </w:rPr>
        <w:t xml:space="preserve">**Provide the exact wording of how the proposed draft regulations or clause is proposed to read.</w:t>
      </w:r>
    </w:p>
    <w:sectPr>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2026-04-09T17:47:05.281Z</dcterms:created>
  <dcterms:modified xsi:type="dcterms:W3CDTF">2026-04-09T17:47:05.305Z</dcterms:modified>
</cp:coreProperties>
</file>

<file path=docProps/custom.xml><?xml version="1.0" encoding="utf-8"?>
<Properties xmlns="http://schemas.openxmlformats.org/officeDocument/2006/custom-properties" xmlns:vt="http://schemas.openxmlformats.org/officeDocument/2006/docPropsVTypes"/>
</file>