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Corrective and Preventive Action Record</w:t>
      </w:r>
    </w:p>
    <w:p>
      <w:r>
        <w:t xml:space="preserve">Record No.: CAPA-2026-0142 Rev: 2 Title: Increase in "Occlusion Detected" alarms — Model VP-400 volumetric infusion pump Originator: J. Mercer, Field Quality Date Opened: 2026-02-11 Date Closed: 2026-04-03 Owner: Manufacturing Engineering</w:t>
      </w:r>
    </w:p>
    <w:p>
      <w:r>
        <w:t xml:space="preserve">1. Problem Statement</w:t>
      </w:r>
    </w:p>
    <w:p>
      <w:r>
        <w:t xml:space="preserve">Between 2025-11 and 2026-01, Field Service logged a rise in complaints reporting spurious "Occlusion Detected" alarms on the VP-400 infusion pump. Complaint volume increased from a trailing average of 4 per month to 19 in January 2026. In 3 of the reported events, infusion was interrupted for a period exceeding 10 minutes before clinical staff intervened. One event involved a patient receiving a vasoactive infusion; the site reported a transient drop in blood pressure requiring intervention by the care team. No permanent injury was reported by the site.</w:t>
      </w:r>
    </w:p>
    <w:p>
      <w:r>
        <w:t xml:space="preserve">Affected population: VP-400 units in the field, software version 3.2.1 and later. Approximately 35,000 units are installed.</w:t>
      </w:r>
    </w:p>
    <w:p>
      <w:r>
        <w:t xml:space="preserve">2. Containment</w:t>
      </w:r>
    </w:p>
    <w:p>
      <w:r>
        <w:t xml:space="preserve">On 2026-02-14 a Field Advisory Notice was issued to all affected accounts instructing staff to verify tubing seating before restarting an interrupted infusion. No units were removed from service.</w:t>
      </w:r>
    </w:p>
    <w:p>
      <w:r>
        <w:t xml:space="preserve">3. Investigation</w:t>
      </w:r>
    </w:p>
    <w:p>
      <w:r>
        <w:t xml:space="preserve">The pressure transducer signal chain was reviewed. Bench testing of 12 returned units reproduced the spurious alarm in 2 units when the upstream tubing was seated at a slight angle in the cassette channel.</w:t>
      </w:r>
    </w:p>
    <w:p>
      <w:r>
        <w:t xml:space="preserve">The investigation team concluded that the cause was **operator error in seating the administration set**, since the alarm could be reproduced when the tubing was deliberately misseated.</w:t>
      </w:r>
    </w:p>
    <w:p>
      <w:r>
        <w:t xml:space="preserve">Software was ruled out. The alarm threshold logic in v3.2.1 was not changed from v3.1.4, and therefore was not considered further.</w:t>
      </w:r>
    </w:p>
    <w:p>
      <w:r>
        <w:t xml:space="preserve">4. Risk Assessment</w:t>
      </w:r>
    </w:p>
    <w:p>
      <w:r>
        <w:t xml:space="preserve">The failure mode "spurious occlusion alarm causing infusion interruption" was assessed against the product risk file. Severity was rated 3 (Minor) on the basis that the alarm is annunciated audibly and visually and that clinical staff are trained to respond to alarms.</w:t>
      </w:r>
    </w:p>
    <w:p>
      <w:r>
        <w:t xml:space="preserve">Occurrence was rated 2. Detection was rated 2. Resulting risk index 12, which is below the acceptability threshold of 20 defined in the risk management plan.</w:t>
      </w:r>
    </w:p>
    <w:p>
      <w:r>
        <w:t xml:space="preserve">5. Corrective Action</w:t>
      </w:r>
    </w:p>
    <w:p>
      <w:r>
        <w:t xml:space="preserve">A revised Instructions for Use insert was drafted emphasizing correct seating of the administration set. The insert was released with the next scheduled labeling update.</w:t>
      </w:r>
    </w:p>
    <w:p>
      <w:r>
        <w:t xml:space="preserve">Additionally, the cassette channel guide was modified to include a chamfer intended to reduce the likelihood of angled seating. The tooling change was implemented on 2026-03-20.</w:t>
      </w:r>
    </w:p>
    <w:p>
      <w:r>
        <w:t xml:space="preserve">6. Effectiveness Verification</w:t>
      </w:r>
    </w:p>
    <w:p>
      <w:r>
        <w:t xml:space="preserve">Training on the revised IFU was delivered to 100% of field service personnel by 2026-03-27. Completion records are on file with Training.</w:t>
      </w:r>
    </w:p>
    <w:p>
      <w:r>
        <w:t xml:space="preserve">The chamfer modification was confirmed present on 5 units sampled from the production line on 2026-03-30. All 5 units passed final acceptance testing.</w:t>
      </w:r>
    </w:p>
    <w:p>
      <w:r>
        <w:t xml:space="preserve">On the basis of the above, the corrective action is considered effective.</w:t>
      </w:r>
    </w:p>
    <w:p>
      <w:r>
        <w:t xml:space="preserve">7. Closure</w:t>
      </w:r>
    </w:p>
    <w:p>
      <w:r>
        <w:t xml:space="preserve">All actions complete. Complaint trend will continue to be monitored through the routine complaint review process.</w:t>
      </w:r>
    </w:p>
    <w:p>
      <w:r>
        <w:t xml:space="preserve">Approved for closure: 2026-04-03, T. Alvarez, Quality Manager.</w:t>
      </w:r>
    </w:p>
    <w:p>
      <w:r>
        <w:t xml:space="preserve">*Note: See test data for details of the bench evaluation. Results of the risk review were captured in the 2026-02-19 project meeting minutes.*</w:t>
      </w:r>
    </w:p>
  </w:body>
</w:document>
</file>