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11 — Redacción de Informes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Programa Institucional del Curso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CUR11-DOC01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Programa Institucional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0"/>
      </w:tblGrid>
      <w:tr>
        <w:tc>
          <w:tcPr>
            <w:tcW w:type="dxa" w:w="26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70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Contenido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Código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CUR-11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Nombre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Redacción de Informes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Fundamentación jurídica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Estándar EC0060 (elaboración de registros, comunicación de anomalías, reporte de incidencias)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Competencias que desarrolla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Distinción entre hecho y opinión; aplicación de la estructura institucional del reporte; redacción clara, cronológica y objetiva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Perfil de ingreso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Haber acreditado Curso 2 — Marco Jurídico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Perfil de egreso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Participante que documenta correctamente lo ocurrido en su turno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Duración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 horas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Modalidad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Presencial, grupo de hasta 20 participantes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Requisitos de ingreso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Constancia de Curso 2 — Marco Jurídico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Bibliografía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Estándar de Competencia EC0060; formatos institucionales de bitácora, parte de novedades y reporte de incidente; guía interna de redacción de reportes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i/>
          <w:iCs/>
          <w:color w:val="4A4A4A"/>
          <w:sz w:val="20"/>
          <w:szCs w:val="20"/>
        </w:rPr>
        <w:t xml:space="preserve">Nota de transversalidad: este curso es referenciado como base documental por los Cursos 4, 5, 7, 8, 9 y 10, ya que todos ellos remiten al procedimiento de reporte aquí desarrollado.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4A4A4A"/>
          <w:sz w:val="20"/>
          <w:szCs w:val="20"/>
        </w:rPr>
        <w:t xml:space="preserve">Nota de criticidad: este curso está clasificado como de criticidad "Alta" en la Matriz de Riesgo Formativo.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11 — Redacción de Informes</w:t>
    </w:r>
    <w:r>
      <w:rPr>
        <w:rFonts w:ascii="Calibri" w:cs="Calibri" w:eastAsia="Calibri" w:hAnsi="Calibri"/>
        <w:color w:val="4A4A4A"/>
        <w:sz w:val="15"/>
        <w:szCs w:val="15"/>
      </w:rPr>
      <w:t xml:space="preserve">	CUR11-DOC01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2026-07-23T08:44:21.511Z</dcterms:created>
  <dcterms:modified xsi:type="dcterms:W3CDTF">2026-07-23T08:44:21.525Z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