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/>
        <w:jc w:val="center"/>
      </w:pPr>
      <w:r>
        <w:rPr>
          <w:rFonts w:ascii="Calibri" w:cs="Calibri" w:eastAsia="Calibri" w:hAnsi="Calibri"/>
          <w:b/>
          <w:bCs/>
          <w:color w:val="1B3A5C"/>
          <w:sz w:val="44"/>
          <w:szCs w:val="44"/>
        </w:rPr>
        <w:t xml:space="preserve">MIPSP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Kit de Capacitación — Curso 14 — Perspectiva de Género</w:t>
      </w:r>
    </w:p>
    <w:p>
      <w:pPr>
        <w:pBdr>
          <w:top w:val="single" w:color="1B3A5C" w:sz="6"/>
        </w:pBdr>
        <w:spacing w:after="300"/>
      </w:pPr>
      <w:r>
        <w:rPr>
          <w:sz w:val="2"/>
          <w:szCs w:val="2"/>
        </w:rPr>
        <w:t xml:space="preserve"/>
      </w:r>
    </w:p>
    <w:p>
      <w:pPr>
        <w:spacing w:before="20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Carta Descriptiva Institucional</w:t>
      </w:r>
    </w:p>
    <w:p>
      <w:pPr>
        <w:spacing w:after="500" w:before="300"/>
        <w:jc w:val="center"/>
      </w:pPr>
      <w:r>
        <w:rPr>
          <w:rFonts w:ascii="Calibri" w:cs="Calibri" w:eastAsia="Calibri" w:hAnsi="Calibri"/>
          <w:color w:val="4A4A4A"/>
          <w:sz w:val="18"/>
          <w:szCs w:val="18"/>
        </w:rPr>
        <w:t xml:space="preserve">Código: CUR14-DOC02     Versión: v1.0     Fecha: 2026-07-18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Elaboró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MIPSP — Kit de Capacitación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Clasificación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Uso interno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Vigencia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Revisar en el ciclo anual (Subsistema 9)</w:t>
            </w:r>
          </w:p>
        </w:tc>
      </w:tr>
    </w:tbl>
    <w:p>
      <w:r>
        <w:br w:type="page"/>
      </w:r>
    </w:p>
    <w:p>
      <w:pPr>
        <w:pStyle w:val="Heading1"/>
        <w:spacing w:after="140" w:before="2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Carta Descriptiva (hora por hora)</w:t>
      </w:r>
    </w:p>
    <w:tbl>
      <w:tblPr>
        <w:tblW w:type="dxa" w:w="14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2800"/>
        <w:gridCol w:w="3000"/>
        <w:gridCol w:w="2100"/>
        <w:gridCol w:w="2000"/>
        <w:gridCol w:w="2200"/>
        <w:gridCol w:w="1750"/>
      </w:tblGrid>
      <w:tr>
        <w:tc>
          <w:tcPr>
            <w:tcW w:type="dxa" w:w="65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Hora</w:t>
            </w:r>
          </w:p>
        </w:tc>
        <w:tc>
          <w:tcPr>
            <w:tcW w:type="dxa" w:w="28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Unidad</w:t>
            </w:r>
          </w:p>
        </w:tc>
        <w:tc>
          <w:tcPr>
            <w:tcW w:type="dxa" w:w="30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Objetivo específico</w:t>
            </w:r>
          </w:p>
        </w:tc>
        <w:tc>
          <w:tcPr>
            <w:tcW w:type="dxa" w:w="21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Actividad</w:t>
            </w:r>
          </w:p>
        </w:tc>
        <w:tc>
          <w:tcPr>
            <w:tcW w:type="dxa" w:w="20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Método/técnica</w:t>
            </w:r>
          </w:p>
        </w:tc>
        <w:tc>
          <w:tcPr>
            <w:tcW w:type="dxa" w:w="22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Materiales</w:t>
            </w:r>
          </w:p>
        </w:tc>
        <w:tc>
          <w:tcPr>
            <w:tcW w:type="dxa" w:w="175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Evaluación</w:t>
            </w:r>
          </w:p>
        </w:tc>
      </w:tr>
      <w:tr>
        <w:tc>
          <w:tcPr>
            <w:tcW w:type="dxa" w:w="6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Repaso y profundización de conceptos de género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Consolidar conceptos básicos de género y violencia de género</w:t>
            </w:r>
          </w:p>
        </w:tc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Exposición dialogada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Expositiva-participativa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Presentación, manual</w:t>
            </w:r>
          </w:p>
        </w:tc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Cuestionario corto</w:t>
            </w:r>
          </w:p>
        </w:tc>
      </w:tr>
      <w:tr>
        <w:tc>
          <w:tcPr>
            <w:tcW w:type="dxa" w:w="6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Tipos de violencia de género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Identificar los distintos tipos de violencia de género</w:t>
            </w:r>
          </w:p>
        </w:tc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Exposición + ejemplos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Expositiva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Presentación, manual</w:t>
            </w:r>
          </w:p>
        </w:tc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Cuestionario corto</w:t>
            </w:r>
          </w:p>
        </w:tc>
      </w:tr>
      <w:tr>
        <w:tc>
          <w:tcPr>
            <w:tcW w:type="dxa" w:w="6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Identificación de sesgos propios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Reconocer sesgos personales que influyen en la actuación</w:t>
            </w:r>
          </w:p>
        </w:tc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Autorreflexión guiada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Práctica dirigida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Guía de autorreflexión</w:t>
            </w:r>
          </w:p>
        </w:tc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Participación evaluada</w:t>
            </w:r>
          </w:p>
        </w:tc>
      </w:tr>
      <w:tr>
        <w:tc>
          <w:tcPr>
            <w:tcW w:type="dxa" w:w="6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</w:t>
            </w:r>
          </w:p>
        </w:tc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Protocolo de actuación ante violencia de género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Aplicar el protocolo institucional</w:t>
            </w:r>
          </w:p>
        </w:tc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Exposición + esquema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Expositiva-participativa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Presentación, manual</w:t>
            </w:r>
          </w:p>
        </w:tc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Cuestionario corto</w:t>
            </w:r>
          </w:p>
        </w:tc>
      </w:tr>
      <w:tr>
        <w:tc>
          <w:tcPr>
            <w:tcW w:type="dxa" w:w="6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</w:t>
            </w:r>
          </w:p>
        </w:tc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Comunicación y canalización a víctimas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Aplicar comunicación empática y canalización correcta</w:t>
            </w:r>
          </w:p>
        </w:tc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Juego de roles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Práctica dirigida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Guía de roles</w:t>
            </w:r>
          </w:p>
        </w:tc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Lista de cotejo</w:t>
            </w:r>
          </w:p>
        </w:tc>
      </w:tr>
      <w:tr>
        <w:tc>
          <w:tcPr>
            <w:tcW w:type="dxa" w:w="6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</w:t>
            </w:r>
          </w:p>
        </w:tc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Cierre y evaluación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Integrar y evaluar el curso</w:t>
            </w:r>
          </w:p>
        </w:tc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Examen + juego de roles evaluado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Evaluación mixta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Examen impreso</w:t>
            </w:r>
          </w:p>
        </w:tc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Examen + práctica (80% mín.)</w:t>
            </w:r>
          </w:p>
        </w:tc>
      </w:tr>
    </w:tbl>
    <w:sectPr>
      <w:headerReference w:type="default" r:id="rId7"/>
      <w:footerReference w:type="default" r:id="rId8"/>
      <w:pgSz w:w="15840" w:h="122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Uso interno — MIPSP</w:t>
    </w:r>
    <w:r>
      <w:rPr>
        <w:rFonts w:ascii="Calibri" w:cs="Calibri" w:eastAsia="Calibri" w:hAnsi="Calibri"/>
        <w:color w:val="4A4A4A"/>
        <w:sz w:val="15"/>
        <w:szCs w:val="15"/>
      </w:rPr>
      <w:t xml:space="preserve">	Página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A4A4A"/>
        <w:sz w:val="15"/>
        <w:szCs w:val="15"/>
      </w:rPr>
      <w:t xml:space="preserve"> de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MIPSP — Curso 14 — Perspectiva de Género</w:t>
    </w:r>
    <w:r>
      <w:rPr>
        <w:rFonts w:ascii="Calibri" w:cs="Calibri" w:eastAsia="Calibri" w:hAnsi="Calibri"/>
        <w:color w:val="4A4A4A"/>
        <w:sz w:val="15"/>
        <w:szCs w:val="15"/>
      </w:rPr>
      <w:t xml:space="preserve">	CUR14-DOC02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2026-07-20T18:43:13.777Z</dcterms:created>
  <dcterms:modified xsi:type="dcterms:W3CDTF">2026-07-20T18:43:13.777Z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