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11 — Redacción de Informes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CUR11-DOC03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Consideraciones por sesión: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detonadora, por ejemplo: "¿Qué diferencia hay entre decir 'el visitante estaba agresivo' y describir lo que hizo?" (Hora 2); "¿Qué pasaría si este reporte tuviera que leerse ante un juez?" (Hora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usar ejemplos reales (anonimizados) de reportes bien y mal redactados del propio sector, contrastándolos lado a 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mezclar opiniones personales con hechos observables ("el sujeto parecía drogado" en vez de describir la conducta observada); omitir hora exacta o datos de identificación; redactar de forma desordenada, sin secuencia cronológica clara.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constantemente la pregunta "¿esto lo viste u observaste directamente, o es tu interpretación?"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Practicar con casos progresivamente más complejos (de una bitácora simple a un reporte de incidente completo).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Usar revisión entre pares como parte del proceso de aprendizaje, no solo evaluación del instructor.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el curso reforzando que un buen reporte protege tanto a la empresa como al propio guardia.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11 — Redacción de Informes</w:t>
    </w:r>
    <w:r>
      <w:rPr>
        <w:rFonts w:ascii="Calibri" w:cs="Calibri" w:eastAsia="Calibri" w:hAnsi="Calibri"/>
        <w:color w:val="4A4A4A"/>
        <w:sz w:val="15"/>
        <w:szCs w:val="15"/>
      </w:rPr>
      <w:t xml:space="preserve">	CUR11-DOC03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2026-07-23T08:44:21.915Z</dcterms:created>
  <dcterms:modified xsi:type="dcterms:W3CDTF">2026-07-23T08:44:21.915Z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