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14 — Perspectiva de Género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Evaluación del Desempeño en Servicio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CUR14-DOC16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Evaluación del Desempeño en Servicio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4A4A4A"/>
          <w:sz w:val="20"/>
          <w:szCs w:val="20"/>
        </w:rPr>
        <w:t xml:space="preserve">Aplicación: a los 30 días de haber concluido el curso, el supervisor directo evalúa al participante en su puesto real.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000"/>
        <w:gridCol w:w="1000"/>
        <w:gridCol w:w="3000"/>
      </w:tblGrid>
      <w:tr>
        <w:tc>
          <w:tcPr>
            <w:tcW w:type="dxa" w:w="42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Indicador</w:t>
            </w:r>
          </w:p>
        </w:tc>
        <w:tc>
          <w:tcPr>
            <w:tcW w:type="dxa" w:w="10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Sí</w:t>
            </w:r>
          </w:p>
        </w:tc>
        <w:tc>
          <w:tcPr>
            <w:tcW w:type="dxa" w:w="10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No</w:t>
            </w:r>
          </w:p>
        </w:tc>
        <w:tc>
          <w:tcPr>
            <w:tcW w:type="dxa" w:w="30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Observaciones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Aplica el mismo criterio de revisión y trato a todas las personas, sin sesgos aparentes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Sabe identificar los canales de denuncia y apoyo disponibles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Ha demostrado disposición a escuchar sin juzgar ante situaciones sensibles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 ha recibido señalamientos por comentarios o actitudes discriminatorias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Aplica comunicación respetuosa con perspectiva de género en su trato diario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14 — Perspectiva de Género</w:t>
    </w:r>
    <w:r>
      <w:rPr>
        <w:rFonts w:ascii="Calibri" w:cs="Calibri" w:eastAsia="Calibri" w:hAnsi="Calibri"/>
        <w:color w:val="4A4A4A"/>
        <w:sz w:val="15"/>
        <w:szCs w:val="15"/>
      </w:rPr>
      <w:t xml:space="preserve">	CUR14-DOC16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2026-07-20T18:43:14.333Z</dcterms:created>
  <dcterms:modified xsi:type="dcterms:W3CDTF">2026-07-20T18:43:14.334Z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