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500"/>
        <w:jc w:val="center"/>
      </w:pPr>
      <w:r>
        <w:rPr>
          <w:rFonts w:ascii="Calibri" w:cs="Calibri" w:eastAsia="Calibri" w:hAnsi="Calibri"/>
          <w:b/>
          <w:bCs/>
          <w:color w:val="1B3A5C"/>
          <w:sz w:val="44"/>
          <w:szCs w:val="44"/>
        </w:rPr>
        <w:t xml:space="preserve">MIPSP</w:t>
      </w:r>
    </w:p>
    <w:p>
      <w:pPr>
        <w:spacing w:after="300"/>
        <w:jc w:val="center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Kit de Capacitación — Curso 18 — Ética Profesional</w:t>
      </w:r>
    </w:p>
    <w:p>
      <w:pPr>
        <w:pBdr>
          <w:top w:val="single" w:color="1B3A5C" w:sz="6"/>
        </w:pBdr>
        <w:spacing w:after="300"/>
      </w:pPr>
      <w:r>
        <w:rPr>
          <w:sz w:val="2"/>
          <w:szCs w:val="2"/>
        </w:rPr>
        <w:t xml:space="preserve"/>
      </w:r>
    </w:p>
    <w:p>
      <w:pPr>
        <w:spacing w:before="200"/>
        <w:jc w:val="center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Banco de Casos Reales</w:t>
      </w:r>
    </w:p>
    <w:p>
      <w:pPr>
        <w:spacing w:after="500" w:before="300"/>
        <w:jc w:val="center"/>
      </w:pPr>
      <w:r>
        <w:rPr>
          <w:rFonts w:ascii="Calibri" w:cs="Calibri" w:eastAsia="Calibri" w:hAnsi="Calibri"/>
          <w:color w:val="4A4A4A"/>
          <w:sz w:val="18"/>
          <w:szCs w:val="18"/>
        </w:rPr>
        <w:t xml:space="preserve">Código: CUR18-DOC07     Versión: v1.0     Fecha: 2026-07-18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00"/>
      </w:tblGrid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Elaboró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MIPSP — Kit de Capacitación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Clasificación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Uso interno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Vigencia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Revisar en el ciclo anual (Subsistema 9)</w:t>
            </w:r>
          </w:p>
        </w:tc>
      </w:tr>
    </w:tbl>
    <w:p>
      <w:r>
        <w:br w:type="page"/>
      </w:r>
    </w:p>
    <w:p>
      <w:pPr>
        <w:pStyle w:val="Heading1"/>
        <w:spacing w:after="140" w:before="200"/>
      </w:pPr>
      <w:r>
        <w:rPr>
          <w:rFonts w:ascii="Calibri" w:cs="Calibri" w:eastAsia="Calibri" w:hAnsi="Calibri"/>
          <w:b/>
          <w:bCs/>
          <w:color w:val="1B3A5C"/>
          <w:sz w:val="26"/>
          <w:szCs w:val="26"/>
        </w:rPr>
        <w:t xml:space="preserve">Banco de Casos Reales</w:t>
      </w:r>
    </w:p>
    <w:p>
      <w:pPr>
        <w:pStyle w:val="Heading2"/>
        <w:spacing w:after="100" w:before="160"/>
      </w:pPr>
      <w:r>
        <w:rPr>
          <w:rFonts w:ascii="Calibri" w:cs="Calibri" w:eastAsia="Calibri" w:hAnsi="Calibri"/>
          <w:b/>
          <w:bCs/>
          <w:color w:val="2E5A8C"/>
          <w:sz w:val="22"/>
          <w:szCs w:val="22"/>
        </w:rPr>
        <w:t xml:space="preserve">Caso 1 — El "agradecimiento" del proveedor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Contexto: Un proveedor frecuente ofrece a un guardia una propina regular "por las molestias" de la revisión diaria.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Problema: Riesgo de que la propina influya en el rigor con que se aplica el procedimiento de revisión.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Normatividad: Principio de honradez; conflicto de interés.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Análisis: Aceptar la propina, aunque parezca inofensiva, compromete la objetividad del guardia y constituye un riesgo ético.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Discusión: ¿Por qué una propina "pequeña" puede ser tan riesgosa como un soborno mayor?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Solución: Rechazar cortésmente cualquier tipo de compensación no autorizada y reportar la situación a su supervisor.</w:t>
      </w:r>
    </w:p>
    <w:p>
      <w:pPr>
        <w:pStyle w:val="Heading2"/>
        <w:spacing w:after="100" w:before="160"/>
      </w:pPr>
      <w:r>
        <w:rPr>
          <w:rFonts w:ascii="Calibri" w:cs="Calibri" w:eastAsia="Calibri" w:hAnsi="Calibri"/>
          <w:b/>
          <w:bCs/>
          <w:color w:val="2E5A8C"/>
          <w:sz w:val="22"/>
          <w:szCs w:val="22"/>
        </w:rPr>
        <w:t xml:space="preserve">Caso 2 — La información compartida "sin mala intención"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Contexto: Un guardia comenta con un conocido fuera del trabajo detalles sobre los horarios de vigilancia del sitio, sin darse cuenta del riesgo.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Problema: Divulgación de información confidencial sin intención maliciosa, pero con riesgo real para la seguridad del sitio.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Normatividad: Confidencialidad de la información.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Análisis: La confidencialidad no depende de la intención, sino del cuidado constante sobre qué información se comparte y con quién.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Discusión: ¿Qué tipo de información, aunque parezca "sin importancia", nunca debería compartirse fuera del trabajo?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Solución: Reforzar el hábito de no compartir horarios, rutinas, ni detalles operativos del sitio, incluso en conversaciones informales.</w:t>
      </w:r>
    </w:p>
    <w:sectPr>
      <w:headerReference w:type="default" r:id="rId7"/>
      <w:footerReference w:type="default" r:id="rId8"/>
      <w:pgSz w:w="12240" w:h="15840" w:orient="portrait"/>
      <w:pgMar w:top="1296" w:right="1296" w:bottom="1296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5C" w:sz="4"/>
      </w:pBdr>
      <w:tabs>
        <w:tab w:val="right" w:pos="9026"/>
      </w:tabs>
    </w:pPr>
    <w:r>
      <w:rPr>
        <w:rFonts w:ascii="Calibri" w:cs="Calibri" w:eastAsia="Calibri" w:hAnsi="Calibri"/>
        <w:color w:val="4A4A4A"/>
        <w:sz w:val="15"/>
        <w:szCs w:val="15"/>
      </w:rPr>
      <w:t xml:space="preserve">Uso interno — MIPSP</w:t>
    </w:r>
    <w:r>
      <w:rPr>
        <w:rFonts w:ascii="Calibri" w:cs="Calibri" w:eastAsia="Calibri" w:hAnsi="Calibri"/>
        <w:color w:val="4A4A4A"/>
        <w:sz w:val="15"/>
        <w:szCs w:val="15"/>
      </w:rPr>
      <w:t xml:space="preserve">	Página </w:t>
    </w:r>
    <w:r>
      <w:rPr>
        <w:rFonts w:ascii="Calibri" w:cs="Calibri" w:eastAsia="Calibri" w:hAnsi="Calibri"/>
        <w:color w:val="4A4A4A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4A4A4A"/>
        <w:sz w:val="15"/>
        <w:szCs w:val="15"/>
      </w:rPr>
      <w:t xml:space="preserve"> de </w:t>
    </w:r>
    <w:r>
      <w:rPr>
        <w:rFonts w:ascii="Calibri" w:cs="Calibri" w:eastAsia="Calibri" w:hAnsi="Calibri"/>
        <w:color w:val="4A4A4A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4"/>
      </w:pBdr>
      <w:tabs>
        <w:tab w:val="right" w:pos="9026"/>
      </w:tabs>
    </w:pPr>
    <w:r>
      <w:rPr>
        <w:rFonts w:ascii="Calibri" w:cs="Calibri" w:eastAsia="Calibri" w:hAnsi="Calibri"/>
        <w:color w:val="4A4A4A"/>
        <w:sz w:val="15"/>
        <w:szCs w:val="15"/>
      </w:rPr>
      <w:t xml:space="preserve">MIPSP — Curso 18 — Ética Profesional</w:t>
    </w:r>
    <w:r>
      <w:rPr>
        <w:rFonts w:ascii="Calibri" w:cs="Calibri" w:eastAsia="Calibri" w:hAnsi="Calibri"/>
        <w:color w:val="4A4A4A"/>
        <w:sz w:val="15"/>
        <w:szCs w:val="15"/>
      </w:rPr>
      <w:t xml:space="preserve">	CUR18-DOC07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2026-08-01T05:33:32.657Z</dcterms:created>
  <dcterms:modified xsi:type="dcterms:W3CDTF">2026-08-01T05:33:32.657Z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