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500"/>
        <w:jc w:val="center"/>
      </w:pPr>
      <w:r>
        <w:rPr>
          <w:rFonts w:ascii="Calibri" w:cs="Calibri" w:eastAsia="Calibri" w:hAnsi="Calibri"/>
          <w:b/>
          <w:bCs/>
          <w:color w:val="1B3A5C"/>
          <w:sz w:val="44"/>
          <w:szCs w:val="44"/>
        </w:rPr>
        <w:t xml:space="preserve">MIPSP</w:t>
      </w:r>
    </w:p>
    <w:p>
      <w:pPr>
        <w:spacing w:after="300"/>
        <w:jc w:val="center"/>
      </w:pPr>
      <w:r>
        <w:rPr>
          <w:rFonts w:ascii="Calibri" w:cs="Calibri" w:eastAsia="Calibri" w:hAnsi="Calibri"/>
          <w:color w:val="4A4A4A"/>
          <w:sz w:val="20"/>
          <w:szCs w:val="20"/>
        </w:rPr>
        <w:t xml:space="preserve">Kit de Capacitación — Curso 4 — Control de Accesos</w:t>
      </w:r>
    </w:p>
    <w:p>
      <w:pPr>
        <w:pBdr>
          <w:top w:val="single" w:color="1B3A5C" w:sz="6"/>
        </w:pBdr>
        <w:spacing w:after="300"/>
      </w:pPr>
      <w:r>
        <w:rPr>
          <w:sz w:val="2"/>
          <w:szCs w:val="2"/>
        </w:rPr>
        <w:t xml:space="preserve"/>
      </w:r>
    </w:p>
    <w:p>
      <w:pPr>
        <w:spacing w:before="200"/>
        <w:jc w:val="center"/>
      </w:pPr>
      <w:r>
        <w:rPr>
          <w:rFonts w:ascii="Calibri" w:cs="Calibri" w:eastAsia="Calibri" w:hAnsi="Calibri"/>
          <w:b/>
          <w:bCs/>
          <w:sz w:val="30"/>
          <w:szCs w:val="30"/>
        </w:rPr>
        <w:t xml:space="preserve">Programa Institucional del Curso</w:t>
      </w:r>
    </w:p>
    <w:p>
      <w:pPr>
        <w:spacing w:after="500" w:before="300"/>
        <w:jc w:val="center"/>
      </w:pPr>
      <w:r>
        <w:rPr>
          <w:rFonts w:ascii="Calibri" w:cs="Calibri" w:eastAsia="Calibri" w:hAnsi="Calibri"/>
          <w:color w:val="4A4A4A"/>
          <w:sz w:val="18"/>
          <w:szCs w:val="18"/>
        </w:rPr>
        <w:t xml:space="preserve">Código: CUR04-DOC01     Versión: v1.0     Fecha: 2026-07-18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6400"/>
      </w:tblGrid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Elaboró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MIPSP — Kit de Capacitación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Clasificación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Uso interno</w:t>
            </w:r>
          </w:p>
        </w:tc>
      </w:tr>
      <w:tr>
        <w:tc>
          <w:tcPr>
            <w:tcW w:type="dxa" w:w="32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Vigencia</w:t>
            </w:r>
          </w:p>
        </w:tc>
        <w:tc>
          <w:tcPr>
            <w:tcW w:type="dxa" w:w="64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Revisar en el ciclo anual (Subsistema 9)</w:t>
            </w:r>
          </w:p>
        </w:tc>
      </w:tr>
    </w:tbl>
    <w:p>
      <w:r>
        <w:br w:type="page"/>
      </w:r>
    </w:p>
    <w:p>
      <w:pPr>
        <w:pStyle w:val="Heading1"/>
        <w:spacing w:after="140" w:before="200"/>
      </w:pPr>
      <w:r>
        <w:rPr>
          <w:rFonts w:ascii="Calibri" w:cs="Calibri" w:eastAsia="Calibri" w:hAnsi="Calibri"/>
          <w:b/>
          <w:bCs/>
          <w:color w:val="1B3A5C"/>
          <w:sz w:val="26"/>
          <w:szCs w:val="26"/>
        </w:rPr>
        <w:t xml:space="preserve">Programa Institucional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7000"/>
      </w:tblGrid>
      <w:tr>
        <w:tc>
          <w:tcPr>
            <w:tcW w:type="dxa" w:w="26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Campo</w:t>
            </w:r>
          </w:p>
        </w:tc>
        <w:tc>
          <w:tcPr>
            <w:tcW w:type="dxa" w:w="7000"/>
            <w:shd w:fill="E8ECEF" w:val="clear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/>
                <w:bCs/>
                <w:sz w:val="18"/>
                <w:szCs w:val="18"/>
              </w:rPr>
              <w:t xml:space="preserve">Contenido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Código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CUR-04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Nombre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Control de Accesos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Fundamentación jurídica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Estándar EC0060 (control de accesos, identificación de personas, revisión documental, registro de visitantes, control de ingreso/salida de bienes, inspección de objetos personales, revisión de vehículos, control de sustancias y objetos prohibidos)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Competencias que desarrolla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Ejecución precisa del control de acceso de personas, vehículos y bienes; detección y reporte de sustancias u objetos prohibidos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Perfil de ingreso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Haber acreditado Curso 1 — Inducción y Curso 2 — Marco Jurídico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Perfil de egreso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Participante que ejecuta el control de acceso con precisión, apego al protocolo y trato adecuado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Duración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16 horas (incluye práctica)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Modalidad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Presencial, grupo de hasta 15 participantes (grupo reducido por componente práctico)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Requisitos de ingreso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Constancias de Curso 1 y Curso 2</w:t>
            </w:r>
          </w:p>
        </w:tc>
      </w:tr>
      <w:tr>
        <w:tc>
          <w:tcPr>
            <w:tcW w:type="dxa" w:w="26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Bibliografía</w:t>
            </w:r>
          </w:p>
        </w:tc>
        <w:tc>
          <w:tcPr>
            <w:tcW w:type="dxa" w:w="7000"/>
            <w:tcMar>
              <w:top w:type="dxa" w:w="70"/>
              <w:left w:type="dxa" w:w="110"/>
              <w:bottom w:type="dxa" w:w="70"/>
              <w:right w:type="dxa" w:w="110"/>
            </w:tcMar>
            <w:vAlign w:val="center"/>
          </w:tcPr>
          <w:p>
            <w:r>
              <w:rPr>
                <w:rFonts w:ascii="Calibri" w:cs="Calibri" w:eastAsia="Calibri" w:hAnsi="Calibri"/>
                <w:b w:val="false"/>
                <w:bCs w:val="false"/>
                <w:sz w:val="18"/>
                <w:szCs w:val="18"/>
              </w:rPr>
              <w:t xml:space="preserve">Estándar de Competencia EC0060; Manual de PNO del sitio; Ley de Seguridad Privada del Estado de Morelos</w:t>
            </w:r>
          </w:p>
        </w:tc>
      </w:tr>
    </w:tbl>
    <w:p>
      <w:pPr>
        <w:spacing w:after="120"/>
      </w:pPr>
      <w:r>
        <w:rPr>
          <w:rFonts w:ascii="Calibri" w:cs="Calibri" w:eastAsia="Calibri" w:hAnsi="Calibri"/>
          <w:i/>
          <w:iCs/>
          <w:color w:val="4A4A4A"/>
          <w:sz w:val="20"/>
          <w:szCs w:val="20"/>
        </w:rPr>
        <w:t xml:space="preserve">Nota de criticidad: este curso fue identificado en la Matriz de Riesgo Formativo como de criticidad "Muy Alta", por lo que forma parte del contenido prioritario del Curso 20 — Actualización Anual.</w:t>
      </w:r>
    </w:p>
    <w:sectPr>
      <w:headerReference w:type="default" r:id="rId7"/>
      <w:footerReference w:type="default" r:id="rId8"/>
      <w:pgSz w:w="12240" w:h="15840" w:orient="portrait"/>
      <w:pgMar w:top="1296" w:right="1296" w:bottom="1296" w:left="1296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Uso interno — MIPSP</w:t>
    </w:r>
    <w:r>
      <w:rPr>
        <w:rFonts w:ascii="Calibri" w:cs="Calibri" w:eastAsia="Calibri" w:hAnsi="Calibri"/>
        <w:color w:val="4A4A4A"/>
        <w:sz w:val="15"/>
        <w:szCs w:val="15"/>
      </w:rPr>
      <w:t xml:space="preserve">	Página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4A4A4A"/>
        <w:sz w:val="15"/>
        <w:szCs w:val="15"/>
      </w:rPr>
      <w:t xml:space="preserve"> de </w:t>
    </w:r>
    <w:r>
      <w:rPr>
        <w:rFonts w:ascii="Calibri" w:cs="Calibri" w:eastAsia="Calibri" w:hAnsi="Calibri"/>
        <w:color w:val="4A4A4A"/>
        <w:sz w:val="15"/>
        <w:szCs w:val="15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1B3A5C" w:sz="4"/>
      </w:pBdr>
      <w:tabs>
        <w:tab w:val="right" w:pos="9026"/>
      </w:tabs>
    </w:pPr>
    <w:r>
      <w:rPr>
        <w:rFonts w:ascii="Calibri" w:cs="Calibri" w:eastAsia="Calibri" w:hAnsi="Calibri"/>
        <w:color w:val="4A4A4A"/>
        <w:sz w:val="15"/>
        <w:szCs w:val="15"/>
      </w:rPr>
      <w:t xml:space="preserve">MIPSP — Curso 4 — Control de Accesos</w:t>
    </w:r>
    <w:r>
      <w:rPr>
        <w:rFonts w:ascii="Calibri" w:cs="Calibri" w:eastAsia="Calibri" w:hAnsi="Calibri"/>
        <w:color w:val="4A4A4A"/>
        <w:sz w:val="15"/>
        <w:szCs w:val="15"/>
      </w:rPr>
      <w:t xml:space="preserve">	CUR04-DOC01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start"/>
      <w:pPr>
        <w:ind w:left="360" w:hanging="2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start"/>
      <w:pPr>
        <w:ind w:left="360" w:hanging="2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2026-07-19T13:01:34.526Z</dcterms:created>
  <dcterms:modified xsi:type="dcterms:W3CDTF">2026-07-19T13:01:34.540Z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