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MERL-T: a Multi-Expert architecture for trustworthy Artificial Legal Intelligence</w:t>
      </w:r>
    </w:p>
    <w:p>
      <w:pPr>
        <w:spacing w:after="120"/>
        <w:jc w:val="center"/>
      </w:pPr>
      <w:r>
        <w:rPr>
          <w:rFonts w:ascii="Times New Roman" w:cs="Times New Roman" w:eastAsia="Times New Roman" w:hAnsi="Times New Roman"/>
          <w:b/>
          <w:bCs/>
          <w:sz w:val="22"/>
          <w:szCs w:val="22"/>
        </w:rPr>
        <w:t xml:space="preserve">Daniele Allega</w:t>
      </w:r>
      <w:r>
        <w:rPr>
          <w:rFonts w:ascii="Times New Roman" w:cs="Times New Roman" w:eastAsia="Times New Roman" w:hAnsi="Times New Roman"/>
          <w:b/>
          <w:bCs/>
          <w:sz w:val="22"/>
          <w:szCs w:val="22"/>
          <w:vertAlign w:val="superscript"/>
        </w:rPr>
        <w:t xml:space="preserve">¹*</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Guglielmo Puzio</w:t>
      </w:r>
      <w:r>
        <w:rPr>
          <w:rFonts w:ascii="Times New Roman" w:cs="Times New Roman" w:eastAsia="Times New Roman" w:hAnsi="Times New Roman"/>
          <w:b/>
          <w:bCs/>
          <w:sz w:val="22"/>
          <w:szCs w:val="22"/>
          <w:vertAlign w:val="superscript"/>
        </w:rPr>
        <w:t xml:space="preserve">²</w:t>
      </w:r>
    </w:p>
    <w:p>
      <w:pPr>
        <w:spacing w:after="60"/>
      </w:pPr>
      <w:r>
        <w:rPr>
          <w:rFonts w:ascii="Times New Roman" w:cs="Times New Roman" w:eastAsia="Times New Roman" w:hAnsi="Times New Roman"/>
          <w:sz w:val="20"/>
          <w:szCs w:val="20"/>
          <w:vertAlign w:val="superscript"/>
        </w:rPr>
        <w:t xml:space="preserve">¹</w:t>
      </w:r>
      <w:r>
        <w:rPr>
          <w:rFonts w:ascii="Times New Roman" w:cs="Times New Roman" w:eastAsia="Times New Roman" w:hAnsi="Times New Roman"/>
          <w:sz w:val="20"/>
          <w:szCs w:val="20"/>
        </w:rPr>
        <w:t xml:space="preserve"> Mercatorum University, Piazza Mattei, 10, 00186 Roma RM, Italy</w:t>
      </w:r>
    </w:p>
    <w:p>
      <w:pPr>
        <w:spacing w:after="60"/>
      </w:pPr>
      <w:r>
        <w:rPr>
          <w:rFonts w:ascii="Times New Roman" w:cs="Times New Roman" w:eastAsia="Times New Roman" w:hAnsi="Times New Roman"/>
          <w:sz w:val="20"/>
          <w:szCs w:val="20"/>
        </w:rPr>
        <w:t xml:space="preserve">  ORCID: </w:t>
      </w:r>
      <w:r>
        <w:rPr>
          <w:rFonts w:ascii="Times New Roman" w:cs="Times New Roman" w:eastAsia="Times New Roman" w:hAnsi="Times New Roman"/>
          <w:color w:val="0000FF"/>
          <w:sz w:val="20"/>
          <w:szCs w:val="20"/>
        </w:rPr>
        <w:t xml:space="preserve">https://orcid.org/0009-0006-5359-6102</w:t>
      </w:r>
    </w:p>
    <w:p>
      <w:pPr>
        <w:spacing w:after="120"/>
      </w:pPr>
      <w:r>
        <w:rPr>
          <w:rFonts w:ascii="Times New Roman" w:cs="Times New Roman" w:eastAsia="Times New Roman" w:hAnsi="Times New Roman"/>
          <w:sz w:val="20"/>
          <w:szCs w:val="20"/>
        </w:rPr>
        <w:t xml:space="preserve">  e-mail: dallega@luiss.it, daniele.allega@studenti.unimercatorum.it</w:t>
      </w:r>
    </w:p>
    <w:p>
      <w:pPr>
        <w:spacing w:after="60"/>
      </w:pPr>
      <w:r>
        <w:rPr>
          <w:rFonts w:ascii="Times New Roman" w:cs="Times New Roman" w:eastAsia="Times New Roman" w:hAnsi="Times New Roman"/>
          <w:sz w:val="20"/>
          <w:szCs w:val="20"/>
          <w:vertAlign w:val="superscript"/>
        </w:rPr>
        <w:t xml:space="preserve">²</w:t>
      </w:r>
      <w:r>
        <w:rPr>
          <w:rFonts w:ascii="Times New Roman" w:cs="Times New Roman" w:eastAsia="Times New Roman" w:hAnsi="Times New Roman"/>
          <w:sz w:val="20"/>
          <w:szCs w:val="20"/>
        </w:rPr>
        <w:t xml:space="preserve"> LUISS "Guido Carli" University, Viale Romania, 32, 00197 Roma RM, Italy</w:t>
      </w:r>
    </w:p>
    <w:p>
      <w:pPr>
        <w:spacing w:after="60"/>
      </w:pPr>
      <w:r>
        <w:rPr>
          <w:rFonts w:ascii="Times New Roman" w:cs="Times New Roman" w:eastAsia="Times New Roman" w:hAnsi="Times New Roman"/>
          <w:sz w:val="20"/>
          <w:szCs w:val="20"/>
        </w:rPr>
        <w:t xml:space="preserve">  ORCID: </w:t>
      </w:r>
      <w:r>
        <w:rPr>
          <w:rFonts w:ascii="Times New Roman" w:cs="Times New Roman" w:eastAsia="Times New Roman" w:hAnsi="Times New Roman"/>
          <w:color w:val="0000FF"/>
          <w:sz w:val="20"/>
          <w:szCs w:val="20"/>
        </w:rPr>
        <w:t xml:space="preserve">https://orcid.org/0009-0001-4366-2632</w:t>
      </w:r>
    </w:p>
    <w:p>
      <w:pPr>
        <w:spacing w:after="120"/>
      </w:pPr>
      <w:r>
        <w:rPr>
          <w:rFonts w:ascii="Times New Roman" w:cs="Times New Roman" w:eastAsia="Times New Roman" w:hAnsi="Times New Roman"/>
          <w:sz w:val="20"/>
          <w:szCs w:val="20"/>
        </w:rPr>
        <w:t xml:space="preserve">  e-mail: guglielmo.puzio@studenti.luiss.it</w:t>
      </w:r>
    </w:p>
    <w:p>
      <w:pPr>
        <w:spacing w:after="240"/>
      </w:pPr>
      <w:r>
        <w:rPr>
          <w:rFonts w:ascii="Times New Roman" w:cs="Times New Roman" w:eastAsia="Times New Roman" w:hAnsi="Times New Roman"/>
          <w:sz w:val="20"/>
          <w:szCs w:val="20"/>
        </w:rPr>
        <w:t xml:space="preserve">* Corresponding author</w:t>
      </w:r>
    </w:p>
    <w:p>
      <w:pPr>
        <w:spacing w:after="240"/>
      </w:pPr>
      <w:r>
        <w:rPr>
          <w:rFonts w:ascii="Times New Roman" w:cs="Times New Roman" w:eastAsia="Times New Roman" w:hAnsi="Times New Roman"/>
          <w:b/>
          <w:bCs/>
          <w:sz w:val="20"/>
          <w:szCs w:val="20"/>
        </w:rPr>
        <w:t xml:space="preserve">Repository: </w:t>
      </w:r>
      <w:r>
        <w:rPr>
          <w:rFonts w:ascii="Times New Roman" w:cs="Times New Roman" w:eastAsia="Times New Roman" w:hAnsi="Times New Roman"/>
          <w:color w:val="0000FF"/>
          <w:sz w:val="20"/>
          <w:szCs w:val="20"/>
        </w:rPr>
        <w:t xml:space="preserve">https://github.com/capazme/ALIS_CORE.git</w:t>
      </w:r>
    </w:p>
    <w:p>
      <w:pPr>
        <w:spacing w:before="240" w:after="120"/>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i/>
          <w:iCs/>
          <w:sz w:val="18"/>
          <w:szCs w:val="18"/>
        </w:rPr>
        <w:t xml:space="preserve">Contemporary Large Language Models fail to capture the fundamental epistemic structure of legal reasoning. Law operates through a constitutive duality: abstract principles providing interpretive scaffolding and concrete rules governing specific situations. Generic LLMs collapse this duality into undifferentiated text, producing plausible but epistemically unfounded outputs. We introduce MERL-T (Multi-Expert Retrieval Legal Transformer), a five-layer pipeline architecture operationalizing legal epistemology through specialized components that preserve the heterogeneity of legal reasoning itself. MERL-T implements epistemic fidelity through: (1) a knowledge graph encoding legal relationships as explicit, navigable structures; (2) orchestrated retrieval agents integrating heterogeneous sources through LLM-based dynamic planning; (3) four expert modules grounded in distinct legal philosophies; (4) a synthesis layer employing convergent mode when experts agree and divergent mode when disagreement reflects genuine legal ambiguity.</w:t>
      </w:r>
    </w:p>
    <w:p>
      <w:pPr>
        <w:spacing w:after="240"/>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Legal Epistemology, Multi-Expert Systems, Knowledge Graphs, Legal Reasoning, Artificial Legal Intelligence</w:t>
      </w:r>
    </w:p>
    <w:p>
      <w:pPr>
        <w:pStyle w:val="Heading1"/>
        <w:spacing w:before="360" w:after="200"/>
      </w:pPr>
      <w:r>
        <w:rPr>
          <w:rFonts w:ascii="Times New Roman" w:cs="Times New Roman" w:eastAsia="Times New Roman" w:hAnsi="Times New Roman"/>
          <w:b/>
          <w:bCs/>
          <w:sz w:val="26"/>
          <w:szCs w:val="26"/>
        </w:rPr>
        <w:t xml:space="preserve">1. Introduction</w:t>
      </w:r>
    </w:p>
    <w:p>
      <w:pPr>
        <w:spacing w:after="200"/>
        <w:jc w:val="both"/>
      </w:pPr>
      <w:r>
        <w:rPr>
          <w:rFonts w:ascii="Times New Roman" w:cs="Times New Roman" w:eastAsia="Times New Roman" w:hAnsi="Times New Roman"/>
          <w:sz w:val="22"/>
          <w:szCs w:val="22"/>
        </w:rPr>
        <w:t xml:space="preserve">Legal reasoning is specialized practical rationality operating through distinctive epistemic structures (Hart, 1961): abstract principles (constitutional values, fundamental rights) providing conceptual scaffolding, and concrete rules (statutory provisions, regulatory requirements) governing particular situations (Dworkin, 1977). Competent legal reasoning requires navigating between these levels through multiple interpretive methodologies.</w:t>
      </w:r>
    </w:p>
    <w:p>
      <w:pPr>
        <w:spacing w:after="200"/>
        <w:jc w:val="both"/>
      </w:pPr>
      <w:r>
        <w:rPr>
          <w:rFonts w:ascii="Times New Roman" w:cs="Times New Roman" w:eastAsia="Times New Roman" w:hAnsi="Times New Roman"/>
          <w:sz w:val="22"/>
          <w:szCs w:val="22"/>
        </w:rPr>
        <w:t xml:space="preserve">Contemporary LLMs, trained on undifferentiated corpora, fail to respect this epistemic structure, producing outputs that are linguistically fluent but epistemically unfounded through: (1) epistemic opacity - cannot explain why interpretations are legally valid, (2) structural blindness - miss hierarchical relationships structuring legal knowledge, and (3) methodological monism - collapse different interpretive approaches into single undifferentiated output.</w:t>
      </w:r>
    </w:p>
    <w:p>
      <w:pPr>
        <w:spacing w:after="200"/>
        <w:jc w:val="both"/>
      </w:pPr>
      <w:r>
        <w:rPr>
          <w:rFonts w:ascii="Times New Roman" w:cs="Times New Roman" w:eastAsia="Times New Roman" w:hAnsi="Times New Roman"/>
          <w:sz w:val="22"/>
          <w:szCs w:val="22"/>
        </w:rPr>
        <w:t xml:space="preserve">If the problem is epistemic, the solution must be architectural: build epistemic structure into system design. MERL-T operationalizes legal epistemology through specialized components that (1) represent legal knowledge structure explicitly, (2) reason according to distinct legal methodologies, and (3) preserve epistemic plurality when disagreement reflects genuine ambiguity.</w:t>
      </w:r>
    </w:p>
    <w:p>
      <w:pPr>
        <w:pStyle w:val="Heading1"/>
        <w:spacing w:before="360" w:after="200"/>
      </w:pPr>
      <w:r>
        <w:rPr>
          <w:rFonts w:ascii="Times New Roman" w:cs="Times New Roman" w:eastAsia="Times New Roman" w:hAnsi="Times New Roman"/>
          <w:b/>
          <w:bCs/>
          <w:sz w:val="26"/>
          <w:szCs w:val="26"/>
        </w:rPr>
        <w:t xml:space="preserve">2. Literature Review on the Five-layer Architecture</w:t>
      </w:r>
    </w:p>
    <w:p>
      <w:pPr>
        <w:spacing w:after="200"/>
        <w:jc w:val="both"/>
      </w:pPr>
      <w:r>
        <w:rPr>
          <w:rFonts w:ascii="Times New Roman" w:cs="Times New Roman" w:eastAsia="Times New Roman" w:hAnsi="Times New Roman"/>
          <w:sz w:val="22"/>
          <w:szCs w:val="22"/>
        </w:rPr>
        <w:t xml:space="preserve">MERL-T processes Italian legal queries through five interconnected layers: Preprocessing Layer (six-stage adaptive processing), Orchestration Layer (LLM-based Router for dynamic execution plans), Reasoning Layer (four specialized experts), Storage Layer (Neo4j KG, ChromaDB, PostgreSQL), and Learning Layer (community feedback with dynamic authority weighting).</w:t>
      </w:r>
    </w:p>
    <w:p>
      <w:pPr>
        <w:pStyle w:val="Heading1"/>
        <w:spacing w:before="360" w:after="200"/>
      </w:pPr>
      <w:r>
        <w:rPr>
          <w:rFonts w:ascii="Times New Roman" w:cs="Times New Roman" w:eastAsia="Times New Roman" w:hAnsi="Times New Roman"/>
          <w:b/>
          <w:bCs/>
          <w:sz w:val="26"/>
          <w:szCs w:val="26"/>
        </w:rPr>
        <w:t xml:space="preserve">3. Knowledge Graph: Encoding Legal Epistemology</w:t>
      </w:r>
    </w:p>
    <w:p>
      <w:pPr>
        <w:spacing w:after="200"/>
        <w:jc w:val="both"/>
      </w:pPr>
      <w:r>
        <w:rPr>
          <w:rFonts w:ascii="Times New Roman" w:cs="Times New Roman" w:eastAsia="Times New Roman" w:hAnsi="Times New Roman"/>
          <w:sz w:val="22"/>
          <w:szCs w:val="22"/>
        </w:rPr>
        <w:t xml:space="preserve">The KG is an epistemic structure making implicit legal relationships explicit and navigable. It is a labeled directed graph G=(V,E,λ,τ) where V represents legal entities, E⊆V×V represents typed relationships, λ:V→T assigns node types, and τ:V→2^T assigns temporal validity.</w:t>
      </w:r>
    </w:p>
    <w:p>
      <w:pPr>
        <w:pStyle w:val="Heading1"/>
        <w:spacing w:before="360" w:after="200"/>
      </w:pPr>
      <w:r>
        <w:rPr>
          <w:rFonts w:ascii="Times New Roman" w:cs="Times New Roman" w:eastAsia="Times New Roman" w:hAnsi="Times New Roman"/>
          <w:b/>
          <w:bCs/>
          <w:sz w:val="26"/>
          <w:szCs w:val="26"/>
        </w:rPr>
        <w:t xml:space="preserve">4. Multi-Expert Reasoning</w:t>
      </w:r>
    </w:p>
    <w:p>
      <w:pPr>
        <w:spacing w:after="200"/>
        <w:jc w:val="both"/>
      </w:pPr>
      <w:r>
        <w:rPr>
          <w:rFonts w:ascii="Times New Roman" w:cs="Times New Roman" w:eastAsia="Times New Roman" w:hAnsi="Times New Roman"/>
          <w:sz w:val="22"/>
          <w:szCs w:val="22"/>
        </w:rPr>
        <w:t xml:space="preserve">Legal reasoning is heterogeneous - four methodologies reflect fundamentally different epistemic commitments: Literal Interpreter (legal positivism), Systemic-Teleological Reasoner (legal teleology), Principles Balancer (constitutional principlism), and Precedent Analyst (legal realism). Each embodies distinct epistemic commitment about legal meaning.</w:t>
      </w:r>
    </w:p>
    <w:p>
      <w:pPr>
        <w:pStyle w:val="Heading1"/>
        <w:spacing w:before="360" w:after="200"/>
      </w:pPr>
      <w:r>
        <w:rPr>
          <w:rFonts w:ascii="Times New Roman" w:cs="Times New Roman" w:eastAsia="Times New Roman" w:hAnsi="Times New Roman"/>
          <w:b/>
          <w:bCs/>
          <w:sz w:val="26"/>
          <w:szCs w:val="26"/>
        </w:rPr>
        <w:t xml:space="preserve">5. LLM-Based Orchestration</w:t>
      </w:r>
    </w:p>
    <w:p>
      <w:pPr>
        <w:spacing w:after="200"/>
        <w:jc w:val="both"/>
      </w:pPr>
      <w:r>
        <w:rPr>
          <w:rFonts w:ascii="Times New Roman" w:cs="Times New Roman" w:eastAsia="Times New Roman" w:hAnsi="Times New Roman"/>
          <w:sz w:val="22"/>
          <w:szCs w:val="22"/>
        </w:rPr>
        <w:t xml:space="preserve">MERL-T uses LLM-based orchestration: Router is itself an LLM reasoning about optimal execution strategy. It receives query context, enriched context, conversation history and produces ExecutionPlan (structured JSON) specifying retrieval_plan, reasoning_plan, iteration_strategy with explicit rationale.</w:t>
      </w:r>
    </w:p>
    <w:p>
      <w:pPr>
        <w:pStyle w:val="Heading1"/>
        <w:spacing w:before="360" w:after="200"/>
      </w:pPr>
      <w:r>
        <w:rPr>
          <w:rFonts w:ascii="Times New Roman" w:cs="Times New Roman" w:eastAsia="Times New Roman" w:hAnsi="Times New Roman"/>
          <w:b/>
          <w:bCs/>
          <w:sz w:val="26"/>
          <w:szCs w:val="26"/>
        </w:rPr>
        <w:t xml:space="preserve">6. Synthesis: Preserving Epistemic Plurality</w:t>
      </w:r>
    </w:p>
    <w:p>
      <w:pPr>
        <w:spacing w:after="200"/>
        <w:jc w:val="both"/>
      </w:pPr>
      <w:r>
        <w:rPr>
          <w:rFonts w:ascii="Times New Roman" w:cs="Times New Roman" w:eastAsia="Times New Roman" w:hAnsi="Times New Roman"/>
          <w:sz w:val="22"/>
          <w:szCs w:val="22"/>
        </w:rPr>
        <w:t xml:space="preserve">The Synthesizer integrates expert outputs through two modes: Convergent Synthesis (when experts agree on conclusion but reason differently) and Divergent Synthesis (when experts disagree substantively). Preserving disagreement respects epistemic plurality - tells the truth about legal complexity.</w:t>
      </w:r>
    </w:p>
    <w:p>
      <w:r>
        <w:br w:type="page"/>
      </w:r>
    </w:p>
    <w:p>
      <w:pPr>
        <w:pStyle w:val="Heading1"/>
        <w:spacing w:before="360" w:after="200"/>
      </w:pPr>
      <w:r>
        <w:rPr>
          <w:rFonts w:ascii="Times New Roman" w:cs="Times New Roman" w:eastAsia="Times New Roman" w:hAnsi="Times New Roman"/>
          <w:b/>
          <w:bCs/>
          <w:sz w:val="26"/>
          <w:szCs w:val="26"/>
        </w:rPr>
        <w:t xml:space="preserve">7. Preliminary Empirical Evidence</w:t>
      </w:r>
    </w:p>
    <w:p>
      <w:pPr>
        <w:spacing w:after="200"/>
        <w:jc w:val="both"/>
      </w:pPr>
      <w:r>
        <w:rPr>
          <w:rFonts w:ascii="Times New Roman" w:cs="Times New Roman" w:eastAsia="Times New Roman" w:hAnsi="Times New Roman"/>
          <w:sz w:val="22"/>
          <w:szCs w:val="22"/>
        </w:rPr>
        <w:t xml:space="preserve">MERL-T is currently in an early implementation phase. We present preliminary empirical evidence demonstrating proof-of-concept feasibility while acknowledging the significant validation work that remains. This transparency is essential for scientific integrity.</w:t>
      </w:r>
    </w:p>
    <w:p>
      <w:pPr>
        <w:pStyle w:val="Heading2"/>
        <w:spacing w:before="280" w:after="160"/>
      </w:pPr>
      <w:r>
        <w:rPr>
          <w:rFonts w:ascii="Times New Roman" w:cs="Times New Roman" w:eastAsia="Times New Roman" w:hAnsi="Times New Roman"/>
          <w:b/>
          <w:bCs/>
          <w:sz w:val="24"/>
          <w:szCs w:val="24"/>
        </w:rPr>
        <w:t xml:space="preserve">7.1 Knowledge Graph Implementation</w:t>
      </w:r>
    </w:p>
    <w:p>
      <w:pPr>
        <w:spacing w:after="200"/>
        <w:jc w:val="both"/>
      </w:pPr>
      <w:r>
        <w:rPr>
          <w:rFonts w:ascii="Times New Roman" w:cs="Times New Roman" w:eastAsia="Times New Roman" w:hAnsi="Times New Roman"/>
          <w:sz w:val="22"/>
          <w:szCs w:val="22"/>
        </w:rPr>
        <w:t xml:space="preserve">The Knowledge Graph component has been implemented and populated with Italian legal sources. Data ingestion achieved 100% completion for Codice Civile (887 articles) and Costituzione (139 articles), with 92% doctrine enrichment.</w:t>
      </w:r>
    </w:p>
    <w:p>
      <w:pPr>
        <w:spacing w:after="120"/>
      </w:pPr>
      <w:r>
        <w:rPr>
          <w:rFonts w:ascii="Times New Roman" w:cs="Times New Roman" w:eastAsia="Times New Roman" w:hAnsi="Times New Roman"/>
          <w:b/>
          <w:bCs/>
          <w:i/>
          <w:iCs/>
          <w:sz w:val="20"/>
          <w:szCs w:val="20"/>
        </w:rPr>
        <w:t xml:space="preserve">Table 1: Knowledge Graph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Metric</w:t>
            </w:r>
          </w:p>
        </w:tc>
        <w:tc>
          <w:tcPr>
            <w:tcW w:type="dxa" w:w="15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Value</w:t>
            </w:r>
          </w:p>
        </w:tc>
        <w:tc>
          <w:tcPr>
            <w:tcW w:type="dxa" w:w="48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Interpretation</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Total Nodes</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27,740</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Includes articles, commi, references</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Total Relationships</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43,935</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Semantically typed</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Nodes per Article</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~2.9</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Reflects hierarchical structure</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Relationships per Node</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1.58</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Moderately connected graph</w:t>
            </w:r>
          </w:p>
        </w:tc>
      </w:tr>
    </w:tbl>
    <w:p>
      <w:pPr>
        <w:spacing w:after="200"/>
      </w:pPr>
    </w:p>
    <w:p>
      <w:pPr>
        <w:spacing w:after="200"/>
        <w:jc w:val="both"/>
      </w:pPr>
      <w:r>
        <w:rPr>
          <w:rFonts w:ascii="Times New Roman" w:cs="Times New Roman" w:eastAsia="Times New Roman" w:hAnsi="Times New Roman"/>
          <w:sz w:val="22"/>
          <w:szCs w:val="22"/>
        </w:rPr>
        <w:t xml:space="preserve">The node-to-article ratio (~2.9) reflects the hierarchical structure of Italian law: each article generates separate nodes for commi (paragraphs), lettere (letters), and temporal versions (multivigenza). The relationship density (1.58) is typical for legal documents with cross-references.</w:t>
      </w:r>
    </w:p>
    <w:p>
      <w:pPr>
        <w:spacing w:after="120"/>
      </w:pPr>
      <w:r>
        <w:rPr>
          <w:rFonts w:ascii="Times New Roman" w:cs="Times New Roman" w:eastAsia="Times New Roman" w:hAnsi="Times New Roman"/>
          <w:b/>
          <w:bCs/>
          <w:i/>
          <w:iCs/>
          <w:sz w:val="20"/>
          <w:szCs w:val="20"/>
        </w:rPr>
        <w:t xml:space="preserve">Table 2: Node Type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Type</w:t>
            </w:r>
          </w:p>
        </w:tc>
        <w:tc>
          <w:tcPr>
            <w:tcW w:type="dxa" w:w="2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Percentage</w:t>
            </w:r>
          </w:p>
        </w:tc>
        <w:tc>
          <w:tcPr>
            <w:tcW w:type="dxa" w:w="48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Example</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Norma</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45.1%</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Laws, decrees, regulations</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Articolo</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29.6%</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Base legal units</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Comma</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14.8%</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Numbered subdivisions</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Concetto</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6.5%</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Abstract concepts (e.g., "buona fede")</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Principio</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2.3%</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Fundamental principles</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Sentenza</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1.8%</w:t>
            </w:r>
          </w:p>
        </w:tc>
        <w:tc>
          <w:tcPr>
            <w:tcW w:type="dxa" w:w="4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Court rulings</w:t>
            </w:r>
          </w:p>
        </w:tc>
      </w:tr>
    </w:tbl>
    <w:p>
      <w:pPr>
        <w:spacing w:after="200"/>
      </w:pPr>
    </w:p>
    <w:p>
      <w:pPr>
        <w:pStyle w:val="Heading2"/>
        <w:spacing w:before="280" w:after="160"/>
      </w:pPr>
      <w:r>
        <w:rPr>
          <w:rFonts w:ascii="Times New Roman" w:cs="Times New Roman" w:eastAsia="Times New Roman" w:hAnsi="Times New Roman"/>
          <w:b/>
          <w:bCs/>
          <w:sz w:val="24"/>
          <w:szCs w:val="24"/>
        </w:rPr>
        <w:t xml:space="preserve">7.2 Retrieval Performance</w:t>
      </w:r>
    </w:p>
    <w:p>
      <w:pPr>
        <w:spacing w:after="200"/>
        <w:jc w:val="both"/>
      </w:pPr>
      <w:r>
        <w:rPr>
          <w:rFonts w:ascii="Times New Roman" w:cs="Times New Roman" w:eastAsia="Times New Roman" w:hAnsi="Times New Roman"/>
          <w:sz w:val="22"/>
          <w:szCs w:val="22"/>
        </w:rPr>
        <w:t xml:space="preserve">Semantic search performance was evaluated on a gold standard of 30 queries:</w:t>
      </w:r>
    </w:p>
    <w:p>
      <w:pPr>
        <w:spacing w:after="120"/>
      </w:pPr>
      <w:r>
        <w:rPr>
          <w:rFonts w:ascii="Times New Roman" w:cs="Times New Roman" w:eastAsia="Times New Roman" w:hAnsi="Times New Roman"/>
          <w:b/>
          <w:bCs/>
          <w:i/>
          <w:iCs/>
          <w:sz w:val="20"/>
          <w:szCs w:val="20"/>
        </w:rPr>
        <w:t xml:space="preserve">Table 3: Retrieval Benchmark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Metric</w:t>
            </w:r>
          </w:p>
        </w:tc>
        <w:tc>
          <w:tcPr>
            <w:tcW w:type="dxa" w:w="14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Value</w:t>
            </w:r>
          </w:p>
        </w:tc>
        <w:tc>
          <w:tcPr>
            <w:tcW w:type="dxa" w:w="12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Target</w:t>
            </w:r>
          </w:p>
        </w:tc>
        <w:tc>
          <w:tcPr>
            <w:tcW w:type="dxa" w:w="12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Status</w:t>
            </w:r>
          </w:p>
        </w:tc>
        <w:tc>
          <w:tcPr>
            <w:tcW w:type="dxa" w:w="25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Industry Benchmark</w:t>
            </w:r>
          </w:p>
        </w:tc>
      </w:tr>
      <w:tr>
        <w:tc>
          <w:tcPr>
            <w:tcW w:type="dxa" w:w="2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NDCG@5</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0.869</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0.60</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+44.8%</w:t>
            </w:r>
          </w:p>
        </w:tc>
        <w:tc>
          <w:tcPr>
            <w:tcW w:type="dxa" w:w="2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0.70-0.85</w:t>
            </w:r>
          </w:p>
        </w:tc>
      </w:tr>
      <w:tr>
        <w:tc>
          <w:tcPr>
            <w:tcW w:type="dxa" w:w="2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Hit Rate@5</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96.67%</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90%</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+7.4%</w:t>
            </w:r>
          </w:p>
        </w:tc>
        <w:tc>
          <w:tcPr>
            <w:tcW w:type="dxa" w:w="2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85-95%</w:t>
            </w:r>
          </w:p>
        </w:tc>
      </w:tr>
      <w:tr>
        <w:tc>
          <w:tcPr>
            <w:tcW w:type="dxa" w:w="2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MRR</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0.850</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0.70</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+21.4%</w:t>
            </w:r>
          </w:p>
        </w:tc>
        <w:tc>
          <w:tcPr>
            <w:tcW w:type="dxa" w:w="2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0.70-0.85</w:t>
            </w:r>
          </w:p>
        </w:tc>
      </w:tr>
      <w:tr>
        <w:tc>
          <w:tcPr>
            <w:tcW w:type="dxa" w:w="2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Perfect Match</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93.3%</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80%</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+16.6%</w:t>
            </w:r>
          </w:p>
        </w:tc>
        <w:tc>
          <w:tcPr>
            <w:tcW w:type="dxa" w:w="2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75-90%</w:t>
            </w:r>
          </w:p>
        </w:tc>
      </w:tr>
      <w:tr>
        <w:tc>
          <w:tcPr>
            <w:tcW w:type="dxa" w:w="2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Latency (vector)</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93 ms</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&lt;200 ms</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w:t>
            </w:r>
          </w:p>
        </w:tc>
        <w:tc>
          <w:tcPr>
            <w:tcW w:type="dxa" w:w="2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50-150 ms</w:t>
            </w:r>
          </w:p>
        </w:tc>
      </w:tr>
    </w:tbl>
    <w:p>
      <w:pPr>
        <w:spacing w:after="200"/>
      </w:pPr>
    </w:p>
    <w:p>
      <w:pPr>
        <w:spacing w:after="120"/>
      </w:pPr>
      <w:r>
        <w:rPr>
          <w:rFonts w:ascii="Times New Roman" w:cs="Times New Roman" w:eastAsia="Times New Roman" w:hAnsi="Times New Roman"/>
          <w:b/>
          <w:bCs/>
          <w:i/>
          <w:iCs/>
          <w:sz w:val="20"/>
          <w:szCs w:val="20"/>
        </w:rPr>
        <w:t xml:space="preserve">Table 4: Performance by Query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Query Type</w:t>
            </w:r>
          </w:p>
        </w:tc>
        <w:tc>
          <w:tcPr>
            <w:tcW w:type="dxa" w:w="18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Recall@5</w:t>
            </w:r>
          </w:p>
        </w:tc>
        <w:tc>
          <w:tcPr>
            <w:tcW w:type="dxa" w:w="50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Example</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Institutional</w:t>
            </w:r>
          </w:p>
        </w:tc>
        <w:tc>
          <w:tcPr>
            <w:tcW w:type="dxa" w:w="18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96.7%</w:t>
            </w:r>
          </w:p>
        </w:tc>
        <w:tc>
          <w:tcPr>
            <w:tcW w:type="dxa" w:w="50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"Art. 1453 risoluzione contratto"</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Numeric</w:t>
            </w:r>
          </w:p>
        </w:tc>
        <w:tc>
          <w:tcPr>
            <w:tcW w:type="dxa" w:w="18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93.3%</w:t>
            </w:r>
          </w:p>
        </w:tc>
        <w:tc>
          <w:tcPr>
            <w:tcW w:type="dxa" w:w="50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"Articolo 2043 codice civile"</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Conceptual</w:t>
            </w:r>
          </w:p>
        </w:tc>
        <w:tc>
          <w:tcPr>
            <w:tcW w:type="dxa" w:w="18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61.1%</w:t>
            </w:r>
          </w:p>
        </w:tc>
        <w:tc>
          <w:tcPr>
            <w:tcW w:type="dxa" w:w="50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"Cos'è la buona fede contrattuale?"</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Procedural</w:t>
            </w:r>
          </w:p>
        </w:tc>
        <w:tc>
          <w:tcPr>
            <w:tcW w:type="dxa" w:w="18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58.3%</w:t>
            </w:r>
          </w:p>
        </w:tc>
        <w:tc>
          <w:tcPr>
            <w:tcW w:type="dxa" w:w="50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"Come si calcola il risarcimento?"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AF50" w:sz="1"/>
              <w:left w:val="single" w:color="4CAF50" w:sz="8"/>
              <w:bottom w:val="single" w:color="4CAF50" w:sz="1"/>
              <w:right w:val="single" w:color="4CAF50" w:sz="1"/>
            </w:tcBorders>
            <w:shd w:fill="FFF3E0" w:val="clear"/>
            <w:tcMar>
              <w:top w:type="dxa" w:w="100"/>
              <w:left w:type="dxa" w:w="150"/>
              <w:bottom w:type="dxa" w:w="100"/>
              <w:right w:type="dxa" w:w="150"/>
            </w:tcMar>
          </w:tcPr>
          <w:p>
            <w:r>
              <w:rPr>
                <w:rFonts w:ascii="Times New Roman" w:cs="Times New Roman" w:eastAsia="Times New Roman" w:hAnsi="Times New Roman"/>
                <w:i/>
                <w:iCs/>
                <w:sz w:val="20"/>
                <w:szCs w:val="20"/>
              </w:rPr>
              <w:t xml:space="preserve">Critical Observation: The system excels at finding specific articles (96.7% for institutional queries) but shows significant degradation on conceptual queries (61.1%). This gap reveals a fundamental limitation of semantic search for concepts distributed across multiple articles—a target for future work.</w:t>
            </w:r>
          </w:p>
        </w:tc>
      </w:tr>
    </w:tbl>
    <w:p>
      <w:pPr>
        <w:spacing w:after="200"/>
      </w:pPr>
    </w:p>
    <w:p>
      <w:pPr>
        <w:pStyle w:val="Heading2"/>
        <w:spacing w:before="280" w:after="160"/>
      </w:pPr>
      <w:r>
        <w:rPr>
          <w:rFonts w:ascii="Times New Roman" w:cs="Times New Roman" w:eastAsia="Times New Roman" w:hAnsi="Times New Roman"/>
          <w:b/>
          <w:bCs/>
          <w:sz w:val="24"/>
          <w:szCs w:val="24"/>
        </w:rPr>
        <w:t xml:space="preserve">7.3 Multi-Expert Pipeline Validation</w:t>
      </w:r>
    </w:p>
    <w:p>
      <w:pPr>
        <w:spacing w:after="200"/>
        <w:jc w:val="both"/>
      </w:pPr>
      <w:r>
        <w:rPr>
          <w:rFonts w:ascii="Times New Roman" w:cs="Times New Roman" w:eastAsia="Times New Roman" w:hAnsi="Times New Roman"/>
          <w:sz w:val="22"/>
          <w:szCs w:val="22"/>
        </w:rPr>
        <w:t xml:space="preserve">The four-expert system was tested on 9 legal queries with full pipeline tracing. This validates that the architectural components described in Sections 3-6 operate as designed.</w:t>
      </w:r>
    </w:p>
    <w:p>
      <w:pPr>
        <w:spacing w:after="120"/>
      </w:pPr>
      <w:r>
        <w:rPr>
          <w:rFonts w:ascii="Times New Roman" w:cs="Times New Roman" w:eastAsia="Times New Roman" w:hAnsi="Times New Roman"/>
          <w:b/>
          <w:bCs/>
          <w:i/>
          <w:iCs/>
          <w:sz w:val="20"/>
          <w:szCs w:val="20"/>
        </w:rPr>
        <w:t xml:space="preserve">Table 5: Expert Latency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Expert</w:t>
            </w:r>
          </w:p>
        </w:tc>
        <w:tc>
          <w:tcPr>
            <w:tcW w:type="dxa" w:w="2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Mean Latency</w:t>
            </w:r>
          </w:p>
        </w:tc>
        <w:tc>
          <w:tcPr>
            <w:tcW w:type="dxa" w:w="25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95% CI</w:t>
            </w:r>
          </w:p>
        </w:tc>
        <w:tc>
          <w:tcPr>
            <w:tcW w:type="dxa" w:w="18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 Total</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Literal Interpreter</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8,682 ms</w:t>
            </w:r>
          </w:p>
        </w:tc>
        <w:tc>
          <w:tcPr>
            <w:tcW w:type="dxa" w:w="2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[7,155, 9,922]</w:t>
            </w:r>
          </w:p>
        </w:tc>
        <w:tc>
          <w:tcPr>
            <w:tcW w:type="dxa" w:w="1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15.0%</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Systemic-Teleological</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11,864 ms</w:t>
            </w:r>
          </w:p>
        </w:tc>
        <w:tc>
          <w:tcPr>
            <w:tcW w:type="dxa" w:w="2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[9,922, 13,535]</w:t>
            </w:r>
          </w:p>
        </w:tc>
        <w:tc>
          <w:tcPr>
            <w:tcW w:type="dxa" w:w="1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20.5%</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Principles Balancer</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10,228 ms</w:t>
            </w:r>
          </w:p>
        </w:tc>
        <w:tc>
          <w:tcPr>
            <w:tcW w:type="dxa" w:w="2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[7,673, 12,115]</w:t>
            </w:r>
          </w:p>
        </w:tc>
        <w:tc>
          <w:tcPr>
            <w:tcW w:type="dxa" w:w="1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17.7%</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Precedent Analyst</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11,133 ms</w:t>
            </w:r>
          </w:p>
        </w:tc>
        <w:tc>
          <w:tcPr>
            <w:tcW w:type="dxa" w:w="2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[10,166, 12,192]</w:t>
            </w:r>
          </w:p>
        </w:tc>
        <w:tc>
          <w:tcPr>
            <w:tcW w:type="dxa" w:w="1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19.3%</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Orchestrator</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~15,875 ms</w:t>
            </w:r>
          </w:p>
        </w:tc>
        <w:tc>
          <w:tcPr>
            <w:tcW w:type="dxa" w:w="2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w:t>
            </w:r>
          </w:p>
        </w:tc>
        <w:tc>
          <w:tcPr>
            <w:tcW w:type="dxa" w:w="1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27.5%</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Total Pipeline</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57,782 ms</w:t>
            </w:r>
          </w:p>
        </w:tc>
        <w:tc>
          <w:tcPr>
            <w:tcW w:type="dxa" w:w="2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[53,782, 61,565]</w:t>
            </w:r>
          </w:p>
        </w:tc>
        <w:tc>
          <w:tcPr>
            <w:tcW w:type="dxa" w:w="1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100%</w:t>
            </w:r>
          </w:p>
        </w:tc>
      </w:tr>
    </w:tbl>
    <w:p>
      <w:pPr>
        <w:spacing w:after="200"/>
      </w:pPr>
    </w:p>
    <w:p>
      <w:pPr>
        <w:spacing w:after="200"/>
        <w:jc w:val="both"/>
      </w:pPr>
      <w:r>
        <w:rPr>
          <w:rFonts w:ascii="Times New Roman" w:cs="Times New Roman" w:eastAsia="Times New Roman" w:hAnsi="Times New Roman"/>
          <w:sz w:val="22"/>
          <w:szCs w:val="22"/>
        </w:rPr>
        <w:t xml:space="preserve">The Systemic-Teleological expert is the slowest (20.5% of time) because it must verify consistency with the broader legal system. The Orchestrator consumes 27.5% for intelligent routing and final synthesis.</w:t>
      </w:r>
    </w:p>
    <w:p>
      <w:pPr>
        <w:spacing w:after="120"/>
      </w:pPr>
      <w:r>
        <w:rPr>
          <w:rFonts w:ascii="Times New Roman" w:cs="Times New Roman" w:eastAsia="Times New Roman" w:hAnsi="Times New Roman"/>
          <w:b/>
          <w:bCs/>
          <w:i/>
          <w:iCs/>
          <w:sz w:val="20"/>
          <w:szCs w:val="20"/>
        </w:rPr>
        <w:t xml:space="preserve">Table 6: Expert Confidence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Expert</w:t>
            </w:r>
          </w:p>
        </w:tc>
        <w:tc>
          <w:tcPr>
            <w:tcW w:type="dxa" w:w="2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Mean Confidence</w:t>
            </w:r>
          </w:p>
        </w:tc>
        <w:tc>
          <w:tcPr>
            <w:tcW w:type="dxa" w:w="2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95% CI</w:t>
            </w:r>
          </w:p>
        </w:tc>
        <w:tc>
          <w:tcPr>
            <w:tcW w:type="dxa" w:w="28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Interpretation</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Literal</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0.822</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[0.611, 0.944]</w:t>
            </w:r>
          </w:p>
        </w:tc>
        <w:tc>
          <w:tcPr>
            <w:tcW w:type="dxa" w:w="2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High - explicit text</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Systemic</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0.811</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[0.600, 0.933]</w:t>
            </w:r>
          </w:p>
        </w:tc>
        <w:tc>
          <w:tcPr>
            <w:tcW w:type="dxa" w:w="2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High - clear references</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Principles</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0.700</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[0.400, 0.900]</w:t>
            </w:r>
          </w:p>
        </w:tc>
        <w:tc>
          <w:tcPr>
            <w:tcW w:type="dxa" w:w="2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Medium - broader interpretation</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Precedent</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0.789</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[0.589, 0.900]</w:t>
            </w:r>
          </w:p>
        </w:tc>
        <w:tc>
          <w:tcPr>
            <w:tcW w:type="dxa" w:w="2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High - citable jurisprudence</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Weighted Mean</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0.788</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[0.584, 0.909]</w:t>
            </w:r>
          </w:p>
        </w:tc>
        <w:tc>
          <w:tcPr>
            <w:tcW w:type="dxa" w:w="28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w:t>
            </w:r>
          </w:p>
        </w:tc>
      </w:tr>
    </w:tbl>
    <w:p>
      <w:pPr>
        <w:spacing w:after="200"/>
      </w:pPr>
    </w:p>
    <w:p>
      <w:pPr>
        <w:spacing w:after="200"/>
        <w:jc w:val="both"/>
      </w:pPr>
      <w:r>
        <w:rPr>
          <w:rFonts w:ascii="Times New Roman" w:cs="Times New Roman" w:eastAsia="Times New Roman" w:hAnsi="Times New Roman"/>
          <w:sz w:val="22"/>
          <w:szCs w:val="22"/>
        </w:rPr>
        <w:t xml:space="preserve">The Principles Balancer shows lower confidence (0.70) and wider confidence intervals because it operates on abstract concepts (e.g., "good faith") requiring broader interpretation, compared to other experts working with concrete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AF50" w:sz="1"/>
              <w:left w:val="single" w:color="4CAF50" w:sz="8"/>
              <w:bottom w:val="single" w:color="4CAF50" w:sz="1"/>
              <w:right w:val="single" w:color="4CAF50" w:sz="1"/>
            </w:tcBorders>
            <w:shd w:fill="E8F4E8" w:val="clear"/>
            <w:tcMar>
              <w:top w:type="dxa" w:w="100"/>
              <w:left w:type="dxa" w:w="150"/>
              <w:bottom w:type="dxa" w:w="100"/>
              <w:right w:type="dxa" w:w="150"/>
            </w:tcMar>
          </w:tcPr>
          <w:p>
            <w:r>
              <w:rPr>
                <w:rFonts w:ascii="Times New Roman" w:cs="Times New Roman" w:eastAsia="Times New Roman" w:hAnsi="Times New Roman"/>
                <w:i/>
                <w:iCs/>
                <w:sz w:val="20"/>
                <w:szCs w:val="20"/>
              </w:rPr>
              <w:t xml:space="preserve">Pipeline Success Rate: 89% (8/9 queries completed successfully). One query failed due to network error—an authentic data point demonstrating logging robustness. On successful queries, source grounding was 100%.</w:t>
            </w:r>
          </w:p>
        </w:tc>
      </w:tr>
    </w:tbl>
    <w:p>
      <w:pPr>
        <w:spacing w:after="200"/>
      </w:pPr>
    </w:p>
    <w:p>
      <w:pPr>
        <w:pStyle w:val="Heading2"/>
        <w:spacing w:before="280" w:after="160"/>
      </w:pPr>
      <w:r>
        <w:rPr>
          <w:rFonts w:ascii="Times New Roman" w:cs="Times New Roman" w:eastAsia="Times New Roman" w:hAnsi="Times New Roman"/>
          <w:b/>
          <w:bCs/>
          <w:sz w:val="24"/>
          <w:szCs w:val="24"/>
        </w:rPr>
        <w:t xml:space="preserve">7.4 Source Grounding Analysis</w:t>
      </w:r>
    </w:p>
    <w:p>
      <w:pPr>
        <w:spacing w:after="200"/>
        <w:jc w:val="both"/>
      </w:pPr>
      <w:r>
        <w:rPr>
          <w:rFonts w:ascii="Times New Roman" w:cs="Times New Roman" w:eastAsia="Times New Roman" w:hAnsi="Times New Roman"/>
          <w:sz w:val="22"/>
          <w:szCs w:val="22"/>
        </w:rPr>
        <w:t xml:space="preserve">Comparison of Expert System vs. baseline LLM (20 queries, EXP-020):</w:t>
      </w:r>
    </w:p>
    <w:p>
      <w:pPr>
        <w:spacing w:after="120"/>
      </w:pPr>
      <w:r>
        <w:rPr>
          <w:rFonts w:ascii="Times New Roman" w:cs="Times New Roman" w:eastAsia="Times New Roman" w:hAnsi="Times New Roman"/>
          <w:b/>
          <w:bCs/>
          <w:i/>
          <w:iCs/>
          <w:sz w:val="20"/>
          <w:szCs w:val="20"/>
        </w:rPr>
        <w:t xml:space="preserve">Table 7: Expert System vs. Baseline LLM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Metric</w:t>
            </w:r>
          </w:p>
        </w:tc>
        <w:tc>
          <w:tcPr>
            <w:tcW w:type="dxa" w:w="2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Expert System</w:t>
            </w:r>
          </w:p>
        </w:tc>
        <w:tc>
          <w:tcPr>
            <w:tcW w:type="dxa" w:w="2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Baseline LLM</w:t>
            </w:r>
          </w:p>
        </w:tc>
        <w:tc>
          <w:tcPr>
            <w:tcW w:type="dxa" w:w="23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Delta</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Source Grounding</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100.0%</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96.6%</w:t>
            </w:r>
          </w:p>
        </w:tc>
        <w:tc>
          <w:tcPr>
            <w:tcW w:type="dxa" w:w="23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+3.4%</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Hallucination Rate</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0.0%</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3.4%</w:t>
            </w:r>
          </w:p>
        </w:tc>
        <w:tc>
          <w:tcPr>
            <w:tcW w:type="dxa" w:w="23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-3.4%</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Citations per Response</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16.7</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2.1</w:t>
            </w:r>
          </w:p>
        </w:tc>
        <w:tc>
          <w:tcPr>
            <w:tcW w:type="dxa" w:w="23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+695%</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Average Latency</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14,012 ms</w:t>
            </w:r>
          </w:p>
        </w:tc>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9,940 ms</w:t>
            </w:r>
          </w:p>
        </w:tc>
        <w:tc>
          <w:tcPr>
            <w:tcW w:type="dxa" w:w="23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+41%</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AF50" w:sz="1"/>
              <w:left w:val="single" w:color="4CAF50" w:sz="8"/>
              <w:bottom w:val="single" w:color="4CAF50" w:sz="1"/>
              <w:right w:val="single" w:color="4CAF50" w:sz="1"/>
            </w:tcBorders>
            <w:shd w:fill="E3F2FD" w:val="clear"/>
            <w:tcMar>
              <w:top w:type="dxa" w:w="100"/>
              <w:left w:type="dxa" w:w="150"/>
              <w:bottom w:type="dxa" w:w="100"/>
              <w:right w:type="dxa" w:w="150"/>
            </w:tcMar>
          </w:tcPr>
          <w:p>
            <w:r>
              <w:rPr>
                <w:rFonts w:ascii="Times New Roman" w:cs="Times New Roman" w:eastAsia="Times New Roman" w:hAnsi="Times New Roman"/>
                <w:i/>
                <w:iCs/>
                <w:sz w:val="20"/>
                <w:szCs w:val="20"/>
              </w:rPr>
              <w:t xml:space="preserve">Key Trade-off: The Expert System eliminates hallucinations entirely (0%) at the cost of +41% latency. For legal applications where accuracy is critical, this trade-off is acceptable. The 695% increase in citations per response enables complete audit trails—essential for legal accountability.</w:t>
            </w:r>
          </w:p>
        </w:tc>
      </w:tr>
    </w:tbl>
    <w:p>
      <w:pPr>
        <w:spacing w:after="200"/>
      </w:pPr>
    </w:p>
    <w:p>
      <w:pPr>
        <w:pStyle w:val="Heading2"/>
        <w:spacing w:before="280" w:after="160"/>
      </w:pPr>
      <w:r>
        <w:rPr>
          <w:rFonts w:ascii="Times New Roman" w:cs="Times New Roman" w:eastAsia="Times New Roman" w:hAnsi="Times New Roman"/>
          <w:b/>
          <w:bCs/>
          <w:sz w:val="24"/>
          <w:szCs w:val="24"/>
        </w:rPr>
        <w:t xml:space="preserve">7.5 Limitations and Challenges</w:t>
      </w:r>
    </w:p>
    <w:p>
      <w:pPr>
        <w:spacing w:after="200"/>
        <w:jc w:val="both"/>
      </w:pPr>
      <w:r>
        <w:rPr>
          <w:rFonts w:ascii="Times New Roman" w:cs="Times New Roman" w:eastAsia="Times New Roman" w:hAnsi="Times New Roman"/>
          <w:sz w:val="22"/>
          <w:szCs w:val="22"/>
        </w:rPr>
        <w:t xml:space="preserve">We transparently report limitations and failed hypotheses:</w:t>
      </w:r>
    </w:p>
    <w:p>
      <w:pPr>
        <w:spacing w:after="120"/>
      </w:pPr>
      <w:r>
        <w:rPr>
          <w:rFonts w:ascii="Times New Roman" w:cs="Times New Roman" w:eastAsia="Times New Roman" w:hAnsi="Times New Roman"/>
          <w:b/>
          <w:bCs/>
          <w:i/>
          <w:iCs/>
          <w:sz w:val="20"/>
          <w:szCs w:val="20"/>
        </w:rPr>
        <w:t xml:space="preserve">Table 8: Performance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Challenge</w:t>
            </w:r>
          </w:p>
        </w:tc>
        <w:tc>
          <w:tcPr>
            <w:tcW w:type="dxa" w:w="12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Target</w:t>
            </w:r>
          </w:p>
        </w:tc>
        <w:tc>
          <w:tcPr>
            <w:tcW w:type="dxa" w:w="12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Actual</w:t>
            </w:r>
          </w:p>
        </w:tc>
        <w:tc>
          <w:tcPr>
            <w:tcW w:type="dxa" w:w="12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Gap</w:t>
            </w:r>
          </w:p>
        </w:tc>
        <w:tc>
          <w:tcPr>
            <w:tcW w:type="dxa" w:w="35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Root Cause</w:t>
            </w:r>
          </w:p>
        </w:tc>
      </w:tr>
      <w:tr>
        <w:tc>
          <w:tcPr>
            <w:tcW w:type="dxa" w:w="22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Conceptual Recall</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≥90%</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61.1%</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-32%</w:t>
            </w:r>
          </w:p>
        </w:tc>
        <w:tc>
          <w:tcPr>
            <w:tcW w:type="dxa" w:w="3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Semantic search doesn't handle multi-hop</w:t>
            </w:r>
          </w:p>
        </w:tc>
      </w:tr>
      <w:tr>
        <w:tc>
          <w:tcPr>
            <w:tcW w:type="dxa" w:w="22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Pipeline Latency</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&lt;2s</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~58s</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+2800%</w:t>
            </w:r>
          </w:p>
        </w:tc>
        <w:tc>
          <w:tcPr>
            <w:tcW w:type="dxa" w:w="3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LLM API calls dominate</w:t>
            </w:r>
          </w:p>
        </w:tc>
      </w:tr>
      <w:tr>
        <w:tc>
          <w:tcPr>
            <w:tcW w:type="dxa" w:w="22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Legal Basis Extraction</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&gt;70%</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w:t>
            </w:r>
          </w:p>
        </w:tc>
        <w:tc>
          <w:tcPr>
            <w:tcW w:type="dxa" w:w="12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-100%</w:t>
            </w:r>
          </w:p>
        </w:tc>
        <w:tc>
          <w:tcPr>
            <w:tcW w:type="dxa" w:w="3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Parser not implemented</w:t>
            </w:r>
          </w:p>
        </w:tc>
      </w:tr>
    </w:tbl>
    <w:p>
      <w:pPr>
        <w:spacing w:after="200"/>
      </w:pPr>
    </w:p>
    <w:p>
      <w:pPr>
        <w:spacing w:after="120"/>
      </w:pPr>
      <w:r>
        <w:rPr>
          <w:rFonts w:ascii="Times New Roman" w:cs="Times New Roman" w:eastAsia="Times New Roman" w:hAnsi="Times New Roman"/>
          <w:b/>
          <w:bCs/>
          <w:sz w:val="22"/>
          <w:szCs w:val="22"/>
        </w:rPr>
        <w:t xml:space="preserve">Methodological Limitations:</w:t>
      </w:r>
    </w:p>
    <w:p>
      <w:pPr>
        <w:spacing w:after="100"/>
        <w:jc w:val="both"/>
      </w:pPr>
      <w:r>
        <w:rPr>
          <w:rFonts w:ascii="Times New Roman" w:cs="Times New Roman" w:eastAsia="Times New Roman" w:hAnsi="Times New Roman"/>
          <w:sz w:val="22"/>
          <w:szCs w:val="22"/>
        </w:rPr>
        <w:t xml:space="preserve">1. Sample Size: Only 30 gold standard queries (N=30) and 9 pipeline traces (N=9). Statistical power is borderline; we recommend N≥100 for robust claims.</w:t>
      </w:r>
    </w:p>
    <w:p>
      <w:pPr>
        <w:spacing w:after="100"/>
        <w:jc w:val="both"/>
      </w:pPr>
      <w:r>
        <w:rPr>
          <w:rFonts w:ascii="Times New Roman" w:cs="Times New Roman" w:eastAsia="Times New Roman" w:hAnsi="Times New Roman"/>
          <w:sz w:val="22"/>
          <w:szCs w:val="22"/>
        </w:rPr>
        <w:t xml:space="preserve">2. No External Baseline: We have not compared against commercial systems (Westlaw, LexisNexis) or GPT-4 direct prompting with legal context.</w:t>
      </w:r>
    </w:p>
    <w:p>
      <w:pPr>
        <w:spacing w:after="100"/>
        <w:jc w:val="both"/>
      </w:pPr>
      <w:r>
        <w:rPr>
          <w:rFonts w:ascii="Times New Roman" w:cs="Times New Roman" w:eastAsia="Times New Roman" w:hAnsi="Times New Roman"/>
          <w:sz w:val="22"/>
          <w:szCs w:val="22"/>
        </w:rPr>
        <w:t xml:space="preserve">3. No Human Evaluation: No user studies with legal professionals. We cannot claim the system is "useful" according to domain experts.</w:t>
      </w:r>
    </w:p>
    <w:p>
      <w:pPr>
        <w:spacing w:after="100"/>
        <w:jc w:val="both"/>
      </w:pPr>
      <w:r>
        <w:rPr>
          <w:rFonts w:ascii="Times New Roman" w:cs="Times New Roman" w:eastAsia="Times New Roman" w:hAnsi="Times New Roman"/>
          <w:sz w:val="22"/>
          <w:szCs w:val="22"/>
        </w:rPr>
        <w:t xml:space="preserve">4. Italian Law Only: Current implementation is specific to Italian legal system. Generalization requires architectural adaptation.</w:t>
      </w:r>
    </w:p>
    <w:p>
      <w:pPr>
        <w:spacing w:after="200"/>
        <w:jc w:val="both"/>
      </w:pPr>
      <w:r>
        <w:rPr>
          <w:rFonts w:ascii="Times New Roman" w:cs="Times New Roman" w:eastAsia="Times New Roman" w:hAnsi="Times New Roman"/>
          <w:sz w:val="22"/>
          <w:szCs w:val="22"/>
        </w:rPr>
        <w:t xml:space="preserve">5. Latency Challenge: The 58-second latency significantly exceeds real-time requirements (&lt;2 seconds).</w:t>
      </w:r>
    </w:p>
    <w:p>
      <w:pPr>
        <w:spacing w:after="120"/>
      </w:pPr>
      <w:r>
        <w:rPr>
          <w:rFonts w:ascii="Times New Roman" w:cs="Times New Roman" w:eastAsia="Times New Roman" w:hAnsi="Times New Roman"/>
          <w:b/>
          <w:bCs/>
          <w:i/>
          <w:iCs/>
          <w:sz w:val="20"/>
          <w:szCs w:val="20"/>
        </w:rPr>
        <w:t xml:space="preserve">Table 9: Hypothesis Success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Category</w:t>
            </w:r>
          </w:p>
        </w:tc>
        <w:tc>
          <w:tcPr>
            <w:tcW w:type="dxa" w:w="14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Tested</w:t>
            </w:r>
          </w:p>
        </w:tc>
        <w:tc>
          <w:tcPr>
            <w:tcW w:type="dxa" w:w="14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Passed</w:t>
            </w:r>
          </w:p>
        </w:tc>
        <w:tc>
          <w:tcPr>
            <w:tcW w:type="dxa" w:w="14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Failed</w:t>
            </w:r>
          </w:p>
        </w:tc>
        <w:tc>
          <w:tcPr>
            <w:tcW w:type="dxa" w:w="26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Rate</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Data Ingestion</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w:t>
            </w:r>
          </w:p>
        </w:tc>
        <w:tc>
          <w:tcPr>
            <w:tcW w:type="dxa" w:w="26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100%</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Knowledge Graph</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w:t>
            </w:r>
          </w:p>
        </w:tc>
        <w:tc>
          <w:tcPr>
            <w:tcW w:type="dxa" w:w="26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100%</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RAG Retrieval</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15</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11</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c>
          <w:tcPr>
            <w:tcW w:type="dxa" w:w="26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73%</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Expert System</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6</w:t>
            </w:r>
          </w:p>
        </w:tc>
        <w:tc>
          <w:tcPr>
            <w:tcW w:type="dxa" w:w="26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40%</w:t>
            </w:r>
          </w:p>
        </w:tc>
      </w:tr>
      <w:tr>
        <w:tc>
          <w:tcPr>
            <w:tcW w:type="dxa" w:w="25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Total</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39</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29</w:t>
            </w:r>
          </w:p>
        </w:tc>
        <w:tc>
          <w:tcPr>
            <w:tcW w:type="dxa" w:w="14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w:t>
            </w:r>
          </w:p>
        </w:tc>
        <w:tc>
          <w:tcPr>
            <w:tcW w:type="dxa" w:w="26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74%</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AF50" w:sz="1"/>
              <w:left w:val="single" w:color="4CAF50" w:sz="8"/>
              <w:bottom w:val="single" w:color="4CAF50" w:sz="1"/>
              <w:right w:val="single" w:color="4CAF50" w:sz="1"/>
            </w:tcBorders>
            <w:shd w:fill="FFF3E0" w:val="clear"/>
            <w:tcMar>
              <w:top w:type="dxa" w:w="100"/>
              <w:left w:type="dxa" w:w="150"/>
              <w:bottom w:type="dxa" w:w="100"/>
              <w:right w:type="dxa" w:w="150"/>
            </w:tcMar>
          </w:tcPr>
          <w:p>
            <w:r>
              <w:rPr>
                <w:rFonts w:ascii="Times New Roman" w:cs="Times New Roman" w:eastAsia="Times New Roman" w:hAnsi="Times New Roman"/>
                <w:i/>
                <w:iCs/>
                <w:sz w:val="20"/>
                <w:szCs w:val="20"/>
              </w:rPr>
              <w:t xml:space="preserve">The pattern is clear: foundational components (ingestion, KG) are mature at 100%, while higher-level components (expert reasoning) require iteration—typical for ML systems in development.</w:t>
            </w:r>
          </w:p>
        </w:tc>
      </w:tr>
    </w:tbl>
    <w:p>
      <w:pPr>
        <w:spacing w:after="200"/>
      </w:pPr>
    </w:p>
    <w:p>
      <w:pPr>
        <w:pStyle w:val="Heading2"/>
        <w:spacing w:before="280" w:after="160"/>
      </w:pPr>
      <w:r>
        <w:rPr>
          <w:rFonts w:ascii="Times New Roman" w:cs="Times New Roman" w:eastAsia="Times New Roman" w:hAnsi="Times New Roman"/>
          <w:b/>
          <w:bCs/>
          <w:sz w:val="24"/>
          <w:szCs w:val="24"/>
        </w:rPr>
        <w:t xml:space="preserve">7.6 Reproducibility</w:t>
      </w:r>
    </w:p>
    <w:p>
      <w:pPr>
        <w:spacing w:after="200"/>
        <w:jc w:val="both"/>
      </w:pPr>
      <w:r>
        <w:rPr>
          <w:rFonts w:ascii="Times New Roman" w:cs="Times New Roman" w:eastAsia="Times New Roman" w:hAnsi="Times New Roman"/>
          <w:sz w:val="22"/>
          <w:szCs w:val="22"/>
        </w:rPr>
        <w:t xml:space="preserve">All experiments are reproducible: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Evidence</w:t>
            </w:r>
          </w:p>
        </w:tc>
        <w:tc>
          <w:tcPr>
            <w:tcW w:type="dxa" w:w="15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Cost</w:t>
            </w:r>
          </w:p>
        </w:tc>
        <w:tc>
          <w:tcPr>
            <w:tcW w:type="dxa" w:w="150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Time</w:t>
            </w:r>
          </w:p>
        </w:tc>
        <w:tc>
          <w:tcPr>
            <w:tcW w:type="dxa" w:w="33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Dependencies</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KG Statistics</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 min</w:t>
            </w:r>
          </w:p>
        </w:tc>
        <w:tc>
          <w:tcPr>
            <w:tcW w:type="dxa" w:w="33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Docker (FalkorDB)</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Retrieval Benchmark</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10 min</w:t>
            </w:r>
          </w:p>
        </w:tc>
        <w:tc>
          <w:tcPr>
            <w:tcW w:type="dxa" w:w="33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OpenRouter API</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Pipeline Traces</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~$1.35</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15 min</w:t>
            </w:r>
          </w:p>
        </w:tc>
        <w:tc>
          <w:tcPr>
            <w:tcW w:type="dxa" w:w="33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OpenRouter API</w:t>
            </w:r>
          </w:p>
        </w:tc>
      </w:tr>
      <w:tr>
        <w:tc>
          <w:tcPr>
            <w:tcW w:type="dxa" w:w="3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0"/>
                <w:szCs w:val="20"/>
              </w:rPr>
              <w:t xml:space="preserve">Total</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~$2.35</w:t>
            </w:r>
          </w:p>
        </w:tc>
        <w:tc>
          <w:tcPr>
            <w:tcW w:type="dxa" w:w="15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~30 min</w:t>
            </w:r>
          </w:p>
        </w:tc>
        <w:tc>
          <w:tcPr>
            <w:tcW w:type="dxa" w:w="33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w:t>
            </w:r>
          </w:p>
        </w:tc>
      </w:tr>
    </w:tbl>
    <w:p>
      <w:pPr>
        <w:spacing w:after="200"/>
      </w:pPr>
    </w:p>
    <w:p>
      <w:pPr>
        <w:spacing w:after="200"/>
        <w:jc w:val="both"/>
      </w:pPr>
      <w:r>
        <w:rPr>
          <w:rFonts w:ascii="Times New Roman" w:cs="Times New Roman" w:eastAsia="Times New Roman" w:hAnsi="Times New Roman"/>
          <w:sz w:val="22"/>
          <w:szCs w:val="22"/>
        </w:rPr>
        <w:t xml:space="preserve">Docker containers with pre-populated data and execution scripts are provided in supplementary materials.</w:t>
      </w:r>
    </w:p>
    <w:p>
      <w:pPr>
        <w:pStyle w:val="Heading1"/>
        <w:spacing w:before="360" w:after="200"/>
      </w:pPr>
      <w:r>
        <w:rPr>
          <w:rFonts w:ascii="Times New Roman" w:cs="Times New Roman" w:eastAsia="Times New Roman" w:hAnsi="Times New Roman"/>
          <w:b/>
          <w:bCs/>
          <w:sz w:val="26"/>
          <w:szCs w:val="26"/>
        </w:rPr>
        <w:t xml:space="preserve">8. Discussion</w:t>
      </w:r>
    </w:p>
    <w:p>
      <w:pPr>
        <w:pStyle w:val="Heading2"/>
        <w:spacing w:before="280" w:after="160"/>
      </w:pPr>
      <w:r>
        <w:rPr>
          <w:rFonts w:ascii="Times New Roman" w:cs="Times New Roman" w:eastAsia="Times New Roman" w:hAnsi="Times New Roman"/>
          <w:b/>
          <w:bCs/>
          <w:sz w:val="24"/>
          <w:szCs w:val="24"/>
        </w:rPr>
        <w:t xml:space="preserve">8.1 Architectural Necessity</w:t>
      </w:r>
    </w:p>
    <w:p>
      <w:pPr>
        <w:spacing w:after="200"/>
        <w:jc w:val="both"/>
      </w:pPr>
      <w:r>
        <w:rPr>
          <w:rFonts w:ascii="Times New Roman" w:cs="Times New Roman" w:eastAsia="Times New Roman" w:hAnsi="Times New Roman"/>
          <w:sz w:val="22"/>
          <w:szCs w:val="22"/>
        </w:rPr>
        <w:t xml:space="preserve">We claim this architecture is necessary for trustworthy legal AI. Legal reasoning requires navigating principles/rules through multiple methodologies (Premise 1). This epistemic structure cannot be adequately represented in implicit weights—it must be externalized in explicit components (Premise 2). Different methodologies embody mutually exclusive commitments and must be separated for coherence (Premise 3). Therefore, trustworthy legal AI must implement explicit knowledge structures (KG), separated interpretive specialists (Experts), and transparent synthesis through orchestrated pipelines.</w:t>
      </w:r>
    </w:p>
    <w:p>
      <w:pPr>
        <w:pStyle w:val="Heading2"/>
        <w:spacing w:before="280" w:after="160"/>
      </w:pPr>
      <w:r>
        <w:rPr>
          <w:rFonts w:ascii="Times New Roman" w:cs="Times New Roman" w:eastAsia="Times New Roman" w:hAnsi="Times New Roman"/>
          <w:b/>
          <w:bCs/>
          <w:sz w:val="24"/>
          <w:szCs w:val="24"/>
        </w:rPr>
        <w:t xml:space="preserve">8.2 Empirical Validation Status</w:t>
      </w:r>
    </w:p>
    <w:p>
      <w:pPr>
        <w:spacing w:after="200"/>
        <w:jc w:val="both"/>
      </w:pPr>
      <w:r>
        <w:rPr>
          <w:rFonts w:ascii="Times New Roman" w:cs="Times New Roman" w:eastAsia="Times New Roman" w:hAnsi="Times New Roman"/>
          <w:sz w:val="22"/>
          <w:szCs w:val="22"/>
        </w:rPr>
        <w:t xml:space="preserve">The empirical evidence presented in Section 7 demonstrates proof-of-concept feasibility. We have shown that: (1) Knowledge Graph successfully encodes Italian legal structure, (2) Semantic search achieves excellent performance on specific queries (NDCG 0.869), (3) Multi-expert pipeline operates as designed with full provenance, (4) Source grounding eliminates hallucinations (0% rate). However, significant validation work remains, including comparison with commercial systems and evaluation by legal professionals.</w:t>
      </w:r>
    </w:p>
    <w:p>
      <w:pPr>
        <w:pStyle w:val="Heading1"/>
        <w:spacing w:before="360" w:after="200"/>
      </w:pPr>
      <w:r>
        <w:rPr>
          <w:rFonts w:ascii="Times New Roman" w:cs="Times New Roman" w:eastAsia="Times New Roman" w:hAnsi="Times New Roman"/>
          <w:b/>
          <w:bCs/>
          <w:sz w:val="26"/>
          <w:szCs w:val="26"/>
        </w:rPr>
        <w:t xml:space="preserve">9. Conclusion</w:t>
      </w:r>
    </w:p>
    <w:p>
      <w:pPr>
        <w:spacing w:after="200"/>
        <w:jc w:val="both"/>
      </w:pPr>
      <w:r>
        <w:rPr>
          <w:rFonts w:ascii="Times New Roman" w:cs="Times New Roman" w:eastAsia="Times New Roman" w:hAnsi="Times New Roman"/>
          <w:sz w:val="22"/>
          <w:szCs w:val="22"/>
        </w:rPr>
        <w:t xml:space="preserve">Trustworthy legal AI requires architectural commitment to epistemic fidelity: system structure must mirror legal reasoning's epistemic structure. Generic LLMs cannot capture law's dual nature (principles vs. rules) or methodological plurality. MERL-T operationalizes legal epistemology through five layers: KG making implicit relationships explicit, LLM-based Router for dynamic planning, Specialized Experts grounded in distinct philosophies, Synthesis preserving epistemic plurality, and learning enabling evolution through community feedback.</w:t>
      </w:r>
    </w:p>
    <w:p>
      <w:pPr>
        <w:spacing w:after="200"/>
        <w:jc w:val="both"/>
      </w:pPr>
      <w:r>
        <w:rPr>
          <w:rFonts w:ascii="Times New Roman" w:cs="Times New Roman" w:eastAsia="Times New Roman" w:hAnsi="Times New Roman"/>
          <w:sz w:val="22"/>
          <w:szCs w:val="22"/>
        </w:rPr>
        <w:t xml:space="preserve">Preliminary empirical evidence demonstrates that foundational components achieve high maturity (100% success for data ingestion and knowledge graph), while higher-level reasoning components require continued development (40% success for expert system). The 74% overall hypothesis success rate reflects both achievements and challenges of building epistemically-grounded legal AI.</w:t>
      </w:r>
    </w:p>
    <w:p>
      <w:pPr>
        <w:spacing w:after="200"/>
        <w:jc w:val="both"/>
      </w:pPr>
      <w:r>
        <w:rPr>
          <w:rFonts w:ascii="Times New Roman" w:cs="Times New Roman" w:eastAsia="Times New Roman" w:hAnsi="Times New Roman"/>
          <w:sz w:val="22"/>
          <w:szCs w:val="22"/>
        </w:rPr>
        <w:t xml:space="preserve">For legal AI, architecture is epistemology. The way we structure the system determines what it can know, how it can reason, and whether outputs are trustworthy. MERL-T demonstrates that architectural choices can operationalize complex domain epistemology, providing a model for trustworthy AI in specialized domains where reasoning structure matters as much as linguistic fluency.</w:t>
      </w:r>
    </w:p>
    <w:p>
      <w:r>
        <w:br w:type="page"/>
      </w:r>
    </w:p>
    <w:p>
      <w:pPr>
        <w:pStyle w:val="Heading1"/>
        <w:spacing w:before="360" w:after="200"/>
      </w:pPr>
      <w:r>
        <w:rPr>
          <w:rFonts w:ascii="Times New Roman" w:cs="Times New Roman" w:eastAsia="Times New Roman" w:hAnsi="Times New Roman"/>
          <w:b/>
          <w:bCs/>
          <w:sz w:val="26"/>
          <w:szCs w:val="26"/>
        </w:rPr>
        <w:t xml:space="preserve">References</w:t>
      </w:r>
    </w:p>
    <w:p>
      <w:pPr>
        <w:spacing w:after="100"/>
        <w:ind w:left="360" w:hanging="360"/>
      </w:pPr>
      <w:r>
        <w:rPr>
          <w:rFonts w:ascii="Times New Roman" w:cs="Times New Roman" w:eastAsia="Times New Roman" w:hAnsi="Times New Roman"/>
          <w:sz w:val="20"/>
          <w:szCs w:val="20"/>
        </w:rPr>
        <w:t xml:space="preserve">Alexy, R. (2002). A theory of constitutional rights. Oxford University Press.</w:t>
      </w:r>
    </w:p>
    <w:p>
      <w:pPr>
        <w:spacing w:after="100"/>
        <w:ind w:left="360" w:hanging="360"/>
      </w:pPr>
      <w:r>
        <w:rPr>
          <w:rFonts w:ascii="Times New Roman" w:cs="Times New Roman" w:eastAsia="Times New Roman" w:hAnsi="Times New Roman"/>
          <w:sz w:val="20"/>
          <w:szCs w:val="20"/>
        </w:rPr>
        <w:t xml:space="preserve">Allega, D. (2025). The Artificial Legal Intelligence Society as an open, multi-sided platform for law-as-computation. In Creativity and Innovation in Digital Economy 2025 (pp. 136–138).</w:t>
      </w:r>
    </w:p>
    <w:p>
      <w:pPr>
        <w:spacing w:after="100"/>
        <w:ind w:left="360" w:hanging="360"/>
      </w:pPr>
      <w:r>
        <w:rPr>
          <w:rFonts w:ascii="Times New Roman" w:cs="Times New Roman" w:eastAsia="Times New Roman" w:hAnsi="Times New Roman"/>
          <w:sz w:val="20"/>
          <w:szCs w:val="20"/>
        </w:rPr>
        <w:t xml:space="preserve">Allega, D., &amp; Puzio, G. (2025a). The knowledge commoditization paradox. In Creativity and Innovation in Digital Economy 2025 (pp. 66–68).</w:t>
      </w:r>
    </w:p>
    <w:p>
      <w:pPr>
        <w:spacing w:after="100"/>
        <w:ind w:left="360" w:hanging="360"/>
      </w:pPr>
      <w:r>
        <w:rPr>
          <w:rFonts w:ascii="Times New Roman" w:cs="Times New Roman" w:eastAsia="Times New Roman" w:hAnsi="Times New Roman"/>
          <w:sz w:val="20"/>
          <w:szCs w:val="20"/>
        </w:rPr>
        <w:t xml:space="preserve">Allega, D., &amp; Puzio, G. (2025b). MERL-T: A multi-expert architecture for trustworthy artificial legal intelligence. In Creativity and Innovation in Digital Economy 2025 (pp. 170–171).</w:t>
      </w:r>
    </w:p>
    <w:p>
      <w:pPr>
        <w:spacing w:after="100"/>
        <w:ind w:left="360" w:hanging="360"/>
      </w:pPr>
      <w:r>
        <w:rPr>
          <w:rFonts w:ascii="Times New Roman" w:cs="Times New Roman" w:eastAsia="Times New Roman" w:hAnsi="Times New Roman"/>
          <w:sz w:val="20"/>
          <w:szCs w:val="20"/>
        </w:rPr>
        <w:t xml:space="preserve">Allega, D., &amp; Puzio, G. (2025c). Reinforcement learning from community feedback (RLCF). In Creativity and Innovation in Digital Economy 2025 (pp. 92–94).</w:t>
      </w:r>
    </w:p>
    <w:p>
      <w:pPr>
        <w:spacing w:after="100"/>
        <w:ind w:left="360" w:hanging="360"/>
      </w:pPr>
      <w:r>
        <w:rPr>
          <w:rFonts w:ascii="Times New Roman" w:cs="Times New Roman" w:eastAsia="Times New Roman" w:hAnsi="Times New Roman"/>
          <w:sz w:val="20"/>
          <w:szCs w:val="20"/>
        </w:rPr>
        <w:t xml:space="preserve">Anthropic (2024). Claude 3 model card (Technical Report).</w:t>
      </w:r>
    </w:p>
    <w:p>
      <w:pPr>
        <w:spacing w:after="100"/>
        <w:ind w:left="360" w:hanging="360"/>
      </w:pPr>
      <w:r>
        <w:rPr>
          <w:rFonts w:ascii="Times New Roman" w:cs="Times New Roman" w:eastAsia="Times New Roman" w:hAnsi="Times New Roman"/>
          <w:sz w:val="20"/>
          <w:szCs w:val="20"/>
        </w:rPr>
        <w:t xml:space="preserve">Ashley, K. D. (2017). Artificial intelligence and legal analytics. Cambridge University Press.</w:t>
      </w:r>
    </w:p>
    <w:p>
      <w:pPr>
        <w:spacing w:after="100"/>
        <w:ind w:left="360" w:hanging="360"/>
      </w:pPr>
      <w:r>
        <w:rPr>
          <w:rFonts w:ascii="Times New Roman" w:cs="Times New Roman" w:eastAsia="Times New Roman" w:hAnsi="Times New Roman"/>
          <w:sz w:val="20"/>
          <w:szCs w:val="20"/>
        </w:rPr>
        <w:t xml:space="preserve">Bench-Capon, T., &amp; Sartor, G. (2003). A model of legal reasoning with cases. Artificial Intelligence, 150(1-2), 97-143.</w:t>
      </w:r>
    </w:p>
    <w:p>
      <w:pPr>
        <w:spacing w:after="100"/>
        <w:ind w:left="360" w:hanging="360"/>
      </w:pPr>
      <w:r>
        <w:rPr>
          <w:rFonts w:ascii="Times New Roman" w:cs="Times New Roman" w:eastAsia="Times New Roman" w:hAnsi="Times New Roman"/>
          <w:sz w:val="20"/>
          <w:szCs w:val="20"/>
        </w:rPr>
        <w:t xml:space="preserve">Bordes, A., et al. (2013). Translating embeddings for modeling multi-relational data. NeurIPS 26.</w:t>
      </w:r>
    </w:p>
    <w:p>
      <w:pPr>
        <w:spacing w:after="100"/>
        <w:ind w:left="360" w:hanging="360"/>
      </w:pPr>
      <w:r>
        <w:rPr>
          <w:rFonts w:ascii="Times New Roman" w:cs="Times New Roman" w:eastAsia="Times New Roman" w:hAnsi="Times New Roman"/>
          <w:sz w:val="20"/>
          <w:szCs w:val="20"/>
        </w:rPr>
        <w:t xml:space="preserve">Brown, T., et al. (2020). Language models are few-shot learners. NeurIPS 33.</w:t>
      </w:r>
    </w:p>
    <w:p>
      <w:pPr>
        <w:spacing w:after="100"/>
        <w:ind w:left="360" w:hanging="360"/>
      </w:pPr>
      <w:r>
        <w:rPr>
          <w:rFonts w:ascii="Times New Roman" w:cs="Times New Roman" w:eastAsia="Times New Roman" w:hAnsi="Times New Roman"/>
          <w:sz w:val="20"/>
          <w:szCs w:val="20"/>
        </w:rPr>
        <w:t xml:space="preserve">Chalkidis, I., et al. (2020). LEGAL-BERT. In Findings of EMNLP 2020.</w:t>
      </w:r>
    </w:p>
    <w:p>
      <w:pPr>
        <w:spacing w:after="100"/>
        <w:ind w:left="360" w:hanging="360"/>
      </w:pPr>
      <w:r>
        <w:rPr>
          <w:rFonts w:ascii="Times New Roman" w:cs="Times New Roman" w:eastAsia="Times New Roman" w:hAnsi="Times New Roman"/>
          <w:sz w:val="20"/>
          <w:szCs w:val="20"/>
        </w:rPr>
        <w:t xml:space="preserve">Dworkin, R. (1977). Taking rights seriously. Harvard University Press.</w:t>
      </w:r>
    </w:p>
    <w:p>
      <w:pPr>
        <w:spacing w:after="100"/>
        <w:ind w:left="360" w:hanging="360"/>
      </w:pPr>
      <w:r>
        <w:rPr>
          <w:rFonts w:ascii="Times New Roman" w:cs="Times New Roman" w:eastAsia="Times New Roman" w:hAnsi="Times New Roman"/>
          <w:sz w:val="20"/>
          <w:szCs w:val="20"/>
        </w:rPr>
        <w:t xml:space="preserve">Dworkin, R. (1986). Law's empire. Harvard University Press.</w:t>
      </w:r>
    </w:p>
    <w:p>
      <w:pPr>
        <w:spacing w:after="100"/>
        <w:ind w:left="360" w:hanging="360"/>
      </w:pPr>
      <w:r>
        <w:rPr>
          <w:rFonts w:ascii="Times New Roman" w:cs="Times New Roman" w:eastAsia="Times New Roman" w:hAnsi="Times New Roman"/>
          <w:sz w:val="20"/>
          <w:szCs w:val="20"/>
        </w:rPr>
        <w:t xml:space="preserve">Hamilton, W. L., et al. (2017). Inductive representation learning on large graphs. NeurIPS 30.</w:t>
      </w:r>
    </w:p>
    <w:p>
      <w:pPr>
        <w:spacing w:after="100"/>
        <w:ind w:left="360" w:hanging="360"/>
      </w:pPr>
      <w:r>
        <w:rPr>
          <w:rFonts w:ascii="Times New Roman" w:cs="Times New Roman" w:eastAsia="Times New Roman" w:hAnsi="Times New Roman"/>
          <w:sz w:val="20"/>
          <w:szCs w:val="20"/>
        </w:rPr>
        <w:t xml:space="preserve">Hart, H. L. A. (1961). The concept of law. Oxford University Press.</w:t>
      </w:r>
    </w:p>
    <w:p>
      <w:pPr>
        <w:spacing w:after="100"/>
        <w:ind w:left="360" w:hanging="360"/>
      </w:pPr>
      <w:r>
        <w:rPr>
          <w:rFonts w:ascii="Times New Roman" w:cs="Times New Roman" w:eastAsia="Times New Roman" w:hAnsi="Times New Roman"/>
          <w:sz w:val="20"/>
          <w:szCs w:val="20"/>
        </w:rPr>
        <w:t xml:space="preserve">Holmes, O. W. (1897). The path of the law. Harvard Law Review, 10(8), 457-478.</w:t>
      </w:r>
    </w:p>
    <w:p>
      <w:pPr>
        <w:spacing w:after="100"/>
        <w:ind w:left="360" w:hanging="360"/>
      </w:pPr>
      <w:r>
        <w:rPr>
          <w:rFonts w:ascii="Times New Roman" w:cs="Times New Roman" w:eastAsia="Times New Roman" w:hAnsi="Times New Roman"/>
          <w:sz w:val="20"/>
          <w:szCs w:val="20"/>
        </w:rPr>
        <w:t xml:space="preserve">Jacobs, R. A., et al. (1991). Adaptive mixtures of local experts. Neural Computation, 3(1), 79-87.</w:t>
      </w:r>
    </w:p>
    <w:p>
      <w:pPr>
        <w:spacing w:after="100"/>
        <w:ind w:left="360" w:hanging="360"/>
      </w:pPr>
      <w:r>
        <w:rPr>
          <w:rFonts w:ascii="Times New Roman" w:cs="Times New Roman" w:eastAsia="Times New Roman" w:hAnsi="Times New Roman"/>
          <w:sz w:val="20"/>
          <w:szCs w:val="20"/>
        </w:rPr>
        <w:t xml:space="preserve">Kelsen, H. (1960). Pure theory of law. University of California Press.</w:t>
      </w:r>
    </w:p>
    <w:p>
      <w:pPr>
        <w:spacing w:after="100"/>
        <w:ind w:left="360" w:hanging="360"/>
      </w:pPr>
      <w:r>
        <w:rPr>
          <w:rFonts w:ascii="Times New Roman" w:cs="Times New Roman" w:eastAsia="Times New Roman" w:hAnsi="Times New Roman"/>
          <w:sz w:val="20"/>
          <w:szCs w:val="20"/>
        </w:rPr>
        <w:t xml:space="preserve">Kipf, T. N., &amp; Welling, M. (2017). Semi-supervised classification with graph convolutional networks. ICLR.</w:t>
      </w:r>
    </w:p>
    <w:p>
      <w:pPr>
        <w:spacing w:after="100"/>
        <w:ind w:left="360" w:hanging="360"/>
      </w:pPr>
      <w:r>
        <w:rPr>
          <w:rFonts w:ascii="Times New Roman" w:cs="Times New Roman" w:eastAsia="Times New Roman" w:hAnsi="Times New Roman"/>
          <w:sz w:val="20"/>
          <w:szCs w:val="20"/>
        </w:rPr>
        <w:t xml:space="preserve">Lehmann, J., et al. (2015). DBpedia: A large-scale, multilingual knowledge base. Semantic Web, 6(2), 167-195.</w:t>
      </w:r>
    </w:p>
    <w:p>
      <w:pPr>
        <w:spacing w:after="100"/>
        <w:ind w:left="360" w:hanging="360"/>
      </w:pPr>
      <w:r>
        <w:rPr>
          <w:rFonts w:ascii="Times New Roman" w:cs="Times New Roman" w:eastAsia="Times New Roman" w:hAnsi="Times New Roman"/>
          <w:sz w:val="20"/>
          <w:szCs w:val="20"/>
        </w:rPr>
        <w:t xml:space="preserve">Lewis, P., et al. (2020). Retrieval-augmented generation for knowledge-intensive NLP tasks. NeurIPS 33.</w:t>
      </w:r>
    </w:p>
    <w:p>
      <w:pPr>
        <w:spacing w:after="100"/>
        <w:ind w:left="360" w:hanging="360"/>
      </w:pPr>
      <w:r>
        <w:rPr>
          <w:rFonts w:ascii="Times New Roman" w:cs="Times New Roman" w:eastAsia="Times New Roman" w:hAnsi="Times New Roman"/>
          <w:sz w:val="20"/>
          <w:szCs w:val="20"/>
        </w:rPr>
        <w:t xml:space="preserve">Shazeer, N., et al. (2017). Outrageously large neural networks: The sparsely-gated mixture-of-experts layer. ICLR.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2026-01-26T11:26:57.242Z</dcterms:created>
  <dcterms:modified xsi:type="dcterms:W3CDTF">2026-01-26T11:26:57.243Z</dcterms:modified>
</cp:coreProperties>
</file>

<file path=docProps/custom.xml><?xml version="1.0" encoding="utf-8"?>
<Properties xmlns="http://schemas.openxmlformats.org/officeDocument/2006/custom-properties" xmlns:vt="http://schemas.openxmlformats.org/officeDocument/2006/docPropsVTypes"/>
</file>